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B5D4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HACKOUT'26 — PHASE 1 IDEATION + IMPLEMENTED MVP</w:t>
            </w:r>
          </w:p>
        </w:tc>
      </w:tr>
    </w:tbl>
    <w:p>
      <w:pPr>
        <w:spacing w:after="0"/>
      </w:pPr>
    </w:p>
    <w:p/>
    <w:p>
      <w:pPr>
        <w:spacing w:after="140"/>
      </w:pPr>
      <w:r>
        <w:rPr>
          <w:b/>
          <w:color w:val="0B5D45"/>
          <w:sz w:val="46"/>
        </w:rPr>
        <w:t>PLUGIN</w:t>
      </w:r>
    </w:p>
    <w:p>
      <w:pPr>
        <w:spacing w:after="240"/>
      </w:pPr>
      <w:r>
        <w:rPr>
          <w:i/>
          <w:color w:val="5B6470"/>
        </w:rPr>
        <w:t>EV Charging Network Renewable-Optimization Platform</w:t>
      </w:r>
    </w:p>
    <w:p>
      <w:pPr>
        <w:spacing w:after="360"/>
      </w:pPr>
      <w:r>
        <w:rPr>
          <w:b/>
          <w:color w:val="2056A8"/>
          <w:sz w:val="34"/>
        </w:rPr>
        <w:t>Charge at the right station, at the right time, with the cleanest practical energy.</w:t>
      </w:r>
    </w:p>
    <w:p>
      <w:pPr>
        <w:spacing w:before="140" w:after="80"/>
      </w:pPr>
      <w:r>
        <w:rPr>
          <w:b/>
          <w:color w:val="0B5D45"/>
          <w:sz w:val="30"/>
        </w:rPr>
        <w:t>The problem</w:t>
      </w:r>
    </w:p>
    <w:p>
      <w:pPr>
        <w:spacing w:after="80" w:line="252" w:lineRule="auto"/>
      </w:pPr>
      <w:r>
        <w:t>EV charging demand can concentrate during expensive, carbon-intensive grid peaks even when renewable supply is expected later. Drivers need simple choices, station operators need capacity guidance, and grid operators need an aggregated view of risk.</w:t>
      </w:r>
    </w:p>
    <w:p>
      <w:pPr>
        <w:spacing w:before="140" w:after="80"/>
      </w:pPr>
      <w:r>
        <w:rPr>
          <w:b/>
          <w:color w:val="0B5D45"/>
          <w:sz w:val="30"/>
        </w:rPr>
        <w:t>Our solution</w:t>
      </w:r>
    </w:p>
    <w:p>
      <w:pPr>
        <w:spacing w:after="80" w:line="252" w:lineRule="auto"/>
      </w:pPr>
      <w:r>
        <w:t>PLUGIN preserves the existing station discovery, booking, session, wallet, billing, and security flows, then adds an explainable renewable-intelligence layer. It forecasts regional energy conditions and EV demand, compares feasible charging windows, and communicates greener, cheaper, faster, and balanced choices.</w:t>
      </w:r>
    </w:p>
    <w:p>
      <w:pPr>
        <w:spacing w:before="140" w:after="80"/>
      </w:pPr>
      <w:r>
        <w:rPr>
          <w:b/>
          <w:color w:val="0B5D45"/>
          <w:sz w:val="30"/>
        </w:rPr>
        <w:t>Why it is credible for a hackathon</w:t>
      </w:r>
    </w:p>
    <w:p>
      <w:pPr>
        <w:pStyle w:val="ListBullet"/>
        <w:spacing w:after="40"/>
      </w:pPr>
      <w:r>
        <w:t>Works offline with deterministic India-oriented DEMO/SIMULATED data, so judging is repeatable.</w:t>
      </w:r>
    </w:p>
    <w:p>
      <w:pPr>
        <w:pStyle w:val="ListBullet"/>
        <w:spacing w:after="40"/>
      </w:pPr>
      <w:r>
        <w:t>Supports a normalized external provider through environment configuration, caching, validation, timeouts, and fallback.</w:t>
      </w:r>
    </w:p>
    <w:p>
      <w:pPr>
        <w:pStyle w:val="ListBullet"/>
        <w:spacing w:after="40"/>
      </w:pPr>
      <w:r>
        <w:t>Labels estimates honestly; it does not present simulated values as utility-grade telemetry.</w:t>
      </w:r>
    </w:p>
    <w:p>
      <w:pPr>
        <w:pStyle w:val="ListBullet"/>
        <w:spacing w:after="40"/>
      </w:pPr>
      <w:r>
        <w:t>Uses role-based access for customers, station operators, and administrators.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87F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Existing EV platform = foundation  |  Renewable intelligence = optimization layer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40"/>
      </w:pPr>
      <w:r>
        <w:rPr>
          <w:b/>
          <w:color w:val="0B5D45"/>
          <w:sz w:val="46"/>
        </w:rPr>
        <w:t>How the app works</w:t>
      </w:r>
    </w:p>
    <w:p>
      <w:pPr>
        <w:spacing w:after="240"/>
      </w:pPr>
      <w:r>
        <w:rPr>
          <w:i/>
          <w:color w:val="5B6470"/>
        </w:rPr>
        <w:t>One end-to-end flow from regional forecast to an explainable charging choice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EAF5F1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1</w:t>
              <w:br/>
              <w:t>Forecast</w:t>
            </w:r>
            <w:r>
              <w:rPr>
                <w:sz w:val="17"/>
              </w:rPr>
              <w:br/>
              <w:t>Normalize solar, wind, demand, price, and carbon signals.</w:t>
            </w:r>
          </w:p>
        </w:tc>
        <w:tc>
          <w:tcPr>
            <w:tcW w:type="dxa" w:w="1973"/>
            <w:shd w:fill="DCEFE9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2</w:t>
              <w:br/>
              <w:t>Request</w:t>
            </w:r>
            <w:r>
              <w:rPr>
                <w:sz w:val="17"/>
              </w:rPr>
              <w:br/>
              <w:t>Driver enters energy, power, station capacity, and time window.</w:t>
            </w:r>
          </w:p>
        </w:tc>
        <w:tc>
          <w:tcPr>
            <w:tcW w:type="dxa" w:w="1973"/>
            <w:shd w:fill="EAF5F1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3</w:t>
              <w:br/>
              <w:t>Evaluate</w:t>
            </w:r>
            <w:r>
              <w:rPr>
                <w:sz w:val="17"/>
              </w:rPr>
              <w:br/>
              <w:t>Score feasible 30-minute schedules within hard constraints.</w:t>
            </w:r>
          </w:p>
        </w:tc>
        <w:tc>
          <w:tcPr>
            <w:tcW w:type="dxa" w:w="1973"/>
            <w:shd w:fill="DCEFE9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4</w:t>
              <w:br/>
              <w:t>Recommend</w:t>
            </w:r>
            <w:r>
              <w:rPr>
                <w:sz w:val="17"/>
              </w:rPr>
              <w:br/>
              <w:t>Return four ranked strategies with cost and carbon impact.</w:t>
            </w:r>
          </w:p>
        </w:tc>
        <w:tc>
          <w:tcPr>
            <w:tcW w:type="dxa" w:w="1973"/>
            <w:shd w:fill="EAF5F1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5</w:t>
              <w:br/>
              <w:t>Operate</w:t>
            </w:r>
            <w:r>
              <w:rPr>
                <w:sz w:val="17"/>
              </w:rPr>
              <w:br/>
              <w:t>Show station capacity, surplus, demand, and peak-risk windows.</w:t>
            </w:r>
          </w:p>
        </w:tc>
      </w:tr>
    </w:tbl>
    <w:p>
      <w:pPr>
        <w:spacing w:before="140" w:after="80"/>
      </w:pPr>
      <w:r>
        <w:rPr>
          <w:b/>
          <w:color w:val="0B5D45"/>
          <w:sz w:val="30"/>
        </w:rPr>
        <w:t>Decision flow</w:t>
      </w:r>
    </w:p>
    <w:p>
      <w:pPr>
        <w:spacing w:after="80" w:line="252" w:lineRule="auto"/>
      </w:pPr>
      <w:r>
        <w:t>1. The public energy screen requests the current regional outlook and forecast.</w:t>
      </w:r>
    </w:p>
    <w:p>
      <w:pPr>
        <w:spacing w:after="80" w:line="252" w:lineRule="auto"/>
      </w:pPr>
      <w:r>
        <w:t>2. If an external provider is configured, the server requests its normalized payload with strict timeouts and numeric validation. Otherwise it uses the local deterministic model.</w:t>
      </w:r>
    </w:p>
    <w:p>
      <w:pPr>
        <w:spacing w:after="80" w:line="252" w:lineRule="auto"/>
      </w:pPr>
      <w:r>
        <w:t>3. Provider results are cached to reduce calls and protect quotas. Any provider failure falls back safely to visibly labeled demo data.</w:t>
      </w:r>
    </w:p>
    <w:p>
      <w:pPr>
        <w:spacing w:after="80" w:line="252" w:lineRule="auto"/>
      </w:pPr>
      <w:r>
        <w:t>4. An authenticated customer submits a flexible charging request. The backend rejects expired, infeasible, or longer-than-48-hour windows.</w:t>
      </w:r>
    </w:p>
    <w:p>
      <w:pPr>
        <w:spacing w:after="80" w:line="252" w:lineRule="auto"/>
      </w:pPr>
      <w:r>
        <w:t>5. The optimizer limits charging power to both vehicle/charger power and available station capacity, then estimates delivered energy, renewable share, tariff, grid load, and carbon for every candidate.</w:t>
      </w:r>
    </w:p>
    <w:p>
      <w:pPr>
        <w:spacing w:after="80" w:line="252" w:lineRule="auto"/>
      </w:pPr>
      <w:r>
        <w:t>6. Four alternatives are returned. The selected preference is shown first, but the driver can compare all trade-offs before using the existing booking flow.</w:t>
      </w:r>
    </w:p>
    <w:p>
      <w:pPr>
        <w:spacing w:after="80" w:line="252" w:lineRule="auto"/>
      </w:pPr>
      <w:r>
        <w:t>7. Operators review a 24-hour demand and renewable outlook to identify surplus windows, capacity pressure, and possible peaks.</w:t>
      </w:r>
    </w:p>
    <w:p>
      <w:pPr>
        <w:spacing w:before="140" w:after="80"/>
      </w:pPr>
      <w:r>
        <w:rPr>
          <w:b/>
          <w:color w:val="0B5D45"/>
          <w:sz w:val="30"/>
        </w:rPr>
        <w:t>What the recommendation explains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What they do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Value delivered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Timing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Start and end of the suggested window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Makes the recommendation actionable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Energy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Required and deliverable kWh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Shows feasibility under capacity limits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Money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Estimated INR cost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Supports cheapest-versus-greenest comparison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Impact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Renewable share, carbon, carbon saved, green score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Makes sustainability understandable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color w:val="0B5D45"/>
          <w:sz w:val="46"/>
        </w:rPr>
        <w:t>Role journeys</w:t>
      </w:r>
    </w:p>
    <w:p>
      <w:pPr>
        <w:spacing w:after="240"/>
      </w:pPr>
      <w:r>
        <w:rPr>
          <w:i/>
          <w:color w:val="5B6470"/>
        </w:rPr>
        <w:t>The same forecast becomes a different decision for each stakeholder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What they do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Value delivered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Driver / customer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region; view green outlook; enter charging need and flexibility; compare GREENEST, CHEAPEST, FASTEST, and BALANCED options.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A clear choice with estimated price, carbon, renewable share, score, and explanation.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Station operator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current load versus capacity, predicted EV demand, surplus periods, and peak-risk hours.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Move flexible demand away from congestion and prepare station capacity.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Administrator / grid persona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aggregated regional renewable supply, demand, overload risk, and forecast horizon.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Demonstrate how EV flexibility can support regional grid planning.</w:t>
            </w:r>
          </w:p>
        </w:tc>
      </w:tr>
    </w:tbl>
    <w:p>
      <w:pPr>
        <w:spacing w:before="140" w:after="80"/>
      </w:pPr>
      <w:r>
        <w:rPr>
          <w:b/>
          <w:color w:val="0B5D45"/>
          <w:sz w:val="30"/>
        </w:rPr>
        <w:t>Customer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2056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Discover station → View energy outlook → Compare charging options → Continue existing booking/session/payment flow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The MVP deliberately recommends rather than silently changing a booking. This keeps the new layer explainable and prevents unexpected scheduling or billing behavior.</w:t>
      </w:r>
    </w:p>
    <w:p>
      <w:pPr>
        <w:spacing w:before="140" w:after="80"/>
      </w:pPr>
      <w:r>
        <w:rPr>
          <w:b/>
          <w:color w:val="0B5D45"/>
          <w:sz w:val="30"/>
        </w:rPr>
        <w:t>Operator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87F7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Open Grid Energy → Check capacity → Find renewable surplus → Identify peak risk → Guide flexible demand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t>Station operators retain their existing operational role. Administrators represent the grid-operator perspective in the hackathon build; a separate production grid role requires a full authorization migration.</w:t>
      </w:r>
    </w:p>
    <w:p>
      <w:pPr>
        <w:spacing w:before="140" w:after="80"/>
      </w:pPr>
      <w:r>
        <w:rPr>
          <w:b/>
          <w:color w:val="0B5D45"/>
          <w:sz w:val="30"/>
        </w:rPr>
        <w:t>Core functional requirements met</w:t>
      </w:r>
    </w:p>
    <w:p>
      <w:pPr>
        <w:pStyle w:val="ListBullet"/>
        <w:spacing w:after="40"/>
      </w:pPr>
      <w:r>
        <w:t>Public, region-aware current and forecast energy views.</w:t>
      </w:r>
    </w:p>
    <w:p>
      <w:pPr>
        <w:pStyle w:val="ListBullet"/>
        <w:spacing w:after="40"/>
      </w:pPr>
      <w:r>
        <w:t>Deterministic offline demonstration and explicit data-quality labels.</w:t>
      </w:r>
    </w:p>
    <w:p>
      <w:pPr>
        <w:pStyle w:val="ListBullet"/>
        <w:spacing w:after="40"/>
      </w:pPr>
      <w:r>
        <w:t>Safe external-provider fallback and request caching.</w:t>
      </w:r>
    </w:p>
    <w:p>
      <w:pPr>
        <w:pStyle w:val="ListBullet"/>
        <w:spacing w:after="40"/>
      </w:pPr>
      <w:r>
        <w:t>Capacity-aware optimization with bounded inputs and explainable outcomes.</w:t>
      </w:r>
    </w:p>
    <w:p>
      <w:pPr>
        <w:pStyle w:val="ListBullet"/>
        <w:spacing w:after="40"/>
      </w:pPr>
      <w:r>
        <w:t>Protected operator and administrator dashboards.</w:t>
      </w:r>
    </w:p>
    <w:p>
      <w:pPr>
        <w:pStyle w:val="ListBullet"/>
        <w:spacing w:after="40"/>
      </w:pPr>
      <w:r>
        <w:t>Responsive web flow and a mobile renewable-energy screen.</w:t>
      </w:r>
    </w:p>
    <w:p>
      <w:r>
        <w:br w:type="page"/>
      </w:r>
    </w:p>
    <w:p>
      <w:pPr>
        <w:spacing w:after="140"/>
      </w:pPr>
      <w:r>
        <w:rPr>
          <w:b/>
          <w:color w:val="0B5D45"/>
          <w:sz w:val="46"/>
        </w:rPr>
        <w:t>Implementation architecture</w:t>
      </w:r>
    </w:p>
    <w:p>
      <w:pPr>
        <w:spacing w:after="240"/>
      </w:pPr>
      <w:r>
        <w:rPr>
          <w:i/>
          <w:color w:val="5B6470"/>
        </w:rPr>
        <w:t>A small, testable layer added to the existing monorepo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5F1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1</w:t>
              <w:br/>
              <w:t>Web / mobile</w:t>
            </w:r>
            <w:r>
              <w:rPr>
                <w:sz w:val="17"/>
              </w:rPr>
              <w:br/>
              <w:t>Energy screen and smart options form</w:t>
            </w:r>
          </w:p>
        </w:tc>
        <w:tc>
          <w:tcPr>
            <w:tcW w:type="dxa" w:w="2466"/>
            <w:shd w:fill="DCEFE9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2</w:t>
              <w:br/>
              <w:t>Secure API</w:t>
            </w:r>
            <w:r>
              <w:rPr>
                <w:sz w:val="17"/>
              </w:rPr>
              <w:br/>
              <w:t>Public energy + protected optimization/operator routes</w:t>
            </w:r>
          </w:p>
        </w:tc>
        <w:tc>
          <w:tcPr>
            <w:tcW w:type="dxa" w:w="2466"/>
            <w:shd w:fill="EAF5F1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3</w:t>
              <w:br/>
              <w:t>Services</w:t>
            </w:r>
            <w:r>
              <w:rPr>
                <w:sz w:val="17"/>
              </w:rPr>
              <w:br/>
              <w:t>Provider selection, cache, demand model, optimizer</w:t>
            </w:r>
          </w:p>
        </w:tc>
        <w:tc>
          <w:tcPr>
            <w:tcW w:type="dxa" w:w="2466"/>
            <w:shd w:fill="DCEFE9"/>
            <w:vAlign w:val="center"/>
          </w:tcPr>
          <w:p>
            <w:pPr>
              <w:jc w:val="center"/>
            </w:pPr>
            <w:r>
              <w:rPr>
                <w:b/>
                <w:color w:val="0B5D45"/>
                <w:sz w:val="20"/>
              </w:rPr>
              <w:t>4</w:t>
              <w:br/>
              <w:t>Data source</w:t>
            </w:r>
            <w:r>
              <w:rPr>
                <w:sz w:val="17"/>
              </w:rPr>
              <w:br/>
              <w:t>External normalized adapter or DEMO fallback</w:t>
            </w:r>
          </w:p>
        </w:tc>
      </w:tr>
    </w:tbl>
    <w:p>
      <w:pPr>
        <w:spacing w:before="140" w:after="80"/>
      </w:pPr>
      <w:r>
        <w:rPr>
          <w:b/>
          <w:color w:val="0B5D45"/>
          <w:sz w:val="30"/>
        </w:rPr>
        <w:t>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What they do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Value delivered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Public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/api/energy/current; GET /api/energy/forecast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Current regional conditions and forecast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Customer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POST /api/optimization/charging-options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Four feasible charging strategies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Operator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/api/operator/energy/dashboard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Station capacity and 24-hour operational outlook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Administrator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GET /api/grid/dashboard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Regional grid-persona overview</w:t>
            </w:r>
          </w:p>
        </w:tc>
      </w:tr>
    </w:tbl>
    <w:p>
      <w:pPr>
        <w:spacing w:before="140" w:after="80"/>
      </w:pPr>
      <w:r>
        <w:rPr>
          <w:b/>
          <w:color w:val="0B5D45"/>
          <w:sz w:val="30"/>
        </w:rPr>
        <w:t>Data and quota safety</w:t>
      </w:r>
    </w:p>
    <w:p>
      <w:pPr>
        <w:pStyle w:val="ListBullet"/>
        <w:spacing w:after="40"/>
      </w:pPr>
      <w:r>
        <w:t>Provider credentials are read from environment variables only and are never sent to web or mobile clients.</w:t>
      </w:r>
    </w:p>
    <w:p>
      <w:pPr>
        <w:pStyle w:val="ListBullet"/>
        <w:spacing w:after="40"/>
      </w:pPr>
      <w:r>
        <w:t>Forecast responses are cached, with a minimum cache interval, to avoid unnecessary API usage.</w:t>
      </w:r>
    </w:p>
    <w:p>
      <w:pPr>
        <w:pStyle w:val="ListBullet"/>
        <w:spacing w:after="40"/>
      </w:pPr>
      <w:r>
        <w:t>Connect/read timeouts, numeric bounds, maximum 48-hour horizons, and deterministic fallback prevent fragile demos.</w:t>
      </w:r>
    </w:p>
    <w:p>
      <w:pPr>
        <w:pStyle w:val="ListBullet"/>
        <w:spacing w:after="40"/>
      </w:pPr>
      <w:r>
        <w:t>The external adapter expects a separately licensed normalized source; no unsupported government or utility API is claimed.</w:t>
      </w:r>
    </w:p>
    <w:p>
      <w:pPr>
        <w:spacing w:before="140" w:after="80"/>
      </w:pPr>
      <w:r>
        <w:rPr>
          <w:b/>
          <w:color w:val="0B5D45"/>
          <w:sz w:val="30"/>
        </w:rPr>
        <w:t>Optimization method</w:t>
      </w:r>
    </w:p>
    <w:p>
      <w:pPr>
        <w:spacing w:after="80" w:line="252" w:lineRule="auto"/>
      </w:pPr>
      <w:r>
        <w:t>The current model is deterministic and explainable—not machine learning. It generates 30-minute candidates, enforces energy-delivery and power constraints, normalizes renewable, price, peak-load, carbon, and wait-time signals, and ranks them according to the requested preference. Equal inputs within the same forecast window produce repeatable results.</w:t>
      </w:r>
    </w:p>
    <w:p>
      <w:r>
        <w:br w:type="page"/>
      </w:r>
    </w:p>
    <w:p>
      <w:pPr>
        <w:spacing w:after="140"/>
      </w:pPr>
      <w:r>
        <w:rPr>
          <w:b/>
          <w:color w:val="0B5D45"/>
          <w:sz w:val="46"/>
        </w:rPr>
        <w:t>Validation and judge demo</w:t>
      </w:r>
    </w:p>
    <w:p>
      <w:pPr>
        <w:spacing w:after="240"/>
      </w:pPr>
      <w:r>
        <w:rPr>
          <w:i/>
          <w:color w:val="5B6470"/>
        </w:rPr>
        <w:t>What is proven today and what remains production work</w:t>
      </w:r>
    </w:p>
    <w:p>
      <w:pPr>
        <w:spacing w:before="140" w:after="80"/>
      </w:pPr>
      <w:r>
        <w:rPr>
          <w:b/>
          <w:color w:val="0B5D45"/>
          <w:sz w:val="30"/>
        </w:rPr>
        <w:t>Verified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What they do</w:t>
            </w:r>
          </w:p>
        </w:tc>
        <w:tc>
          <w:tcPr>
            <w:tcW w:type="dxa" w:w="3289"/>
            <w:shd w:fill="0B5D45"/>
          </w:tcPr>
          <w:p>
            <w:r>
              <w:rPr>
                <w:b/>
                <w:color w:val="FFFFFF"/>
              </w:rPr>
              <w:t>Value delivered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Backend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mvn clean verify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137 tests passed; Spring Boot production JAR built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Web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checks + production Vite build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Mobile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Security checks + Expo compatibility + Android export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3289"/>
            <w:vAlign w:val="center"/>
            <w:shd w:fill="EAF5F1"/>
          </w:tcPr>
          <w:p>
            <w:pPr>
              <w:spacing w:after="0"/>
            </w:pPr>
            <w:r>
              <w:rPr>
                <w:b/>
                <w:color w:val="17324D"/>
                <w:sz w:val="18"/>
              </w:rPr>
              <w:t>Documents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DOCX/PDF render and page inspection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>
              <w:rPr>
                <w:sz w:val="18"/>
              </w:rPr>
              <w:t>Submission artifacts verified</w:t>
            </w:r>
          </w:p>
        </w:tc>
      </w:tr>
    </w:tbl>
    <w:p>
      <w:pPr>
        <w:spacing w:before="140" w:after="80"/>
      </w:pPr>
      <w:r>
        <w:rPr>
          <w:b/>
          <w:color w:val="0B5D45"/>
          <w:sz w:val="30"/>
        </w:rPr>
        <w:t>Five-minute demonstration</w:t>
      </w:r>
    </w:p>
    <w:p>
      <w:pPr>
        <w:spacing w:after="80" w:line="252" w:lineRule="auto"/>
      </w:pPr>
      <w:r>
        <w:t>1. Open Green Energy and point out the DEMO/SIMULATED badge, regional selector, renewable mix, price, carbon, and next-hours chart.</w:t>
      </w:r>
    </w:p>
    <w:p>
      <w:pPr>
        <w:spacing w:after="80" w:line="252" w:lineRule="auto"/>
      </w:pPr>
      <w:r>
        <w:t>2. Sign in as a customer, enter a flexible window, and compare the four strategies. Explain why GREENEST and CHEAPEST can choose different times.</w:t>
      </w:r>
    </w:p>
    <w:p>
      <w:pPr>
        <w:spacing w:after="80" w:line="252" w:lineRule="auto"/>
      </w:pPr>
      <w:r>
        <w:t>3. Open the station-operator dashboard and show capacity, renewable surplus, demand forecast, and peak-risk timing.</w:t>
      </w:r>
    </w:p>
    <w:p>
      <w:pPr>
        <w:spacing w:after="80" w:line="252" w:lineRule="auto"/>
      </w:pPr>
      <w:r>
        <w:t>4. Open the administrator grid view and explain how aggregated EV flexibility can reduce peak stress.</w:t>
      </w:r>
    </w:p>
    <w:p>
      <w:pPr>
        <w:spacing w:after="80" w:line="252" w:lineRule="auto"/>
      </w:pPr>
      <w:r>
        <w:t>5. Disconnect external data or leave it unconfigured; demonstrate that the same labeled offline scenario remains available.</w:t>
      </w:r>
    </w:p>
    <w:p>
      <w:pPr>
        <w:spacing w:before="140" w:after="80"/>
      </w:pPr>
      <w:r>
        <w:rPr>
          <w:b/>
          <w:color w:val="0B5D45"/>
          <w:sz w:val="30"/>
        </w:rPr>
        <w:t>Honest MVP boundaries</w:t>
      </w:r>
    </w:p>
    <w:p>
      <w:pPr>
        <w:pStyle w:val="ListBullet"/>
        <w:spacing w:after="40"/>
      </w:pPr>
      <w:r>
        <w:t>No physical grid dispatch, utility settlement, OCPP charger control, or certified carbon accounting.</w:t>
      </w:r>
    </w:p>
    <w:p>
      <w:pPr>
        <w:pStyle w:val="ListBullet"/>
        <w:spacing w:after="40"/>
      </w:pPr>
      <w:r>
        <w:t>Recommendations do not yet automatically reschedule bookings or alter authoritative bills.</w:t>
      </w:r>
    </w:p>
    <w:p>
      <w:pPr>
        <w:pStyle w:val="ListBullet"/>
        <w:spacing w:after="40"/>
      </w:pPr>
      <w:r>
        <w:t>Production rollout needs a licensed/approved live data source, regional calibration, monitoring, and operator agreements.</w:t>
      </w:r>
    </w:p>
    <w:p>
      <w:pPr>
        <w:pStyle w:val="ListBullet"/>
        <w:spacing w:after="40"/>
      </w:pPr>
      <w:r>
        <w:t>Mobile dependency audit findings are primarily in the Expo/Metro toolchain; forcing the suggested major upgrade would be a separate compatibility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B5D4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Outcome: a demonstrable, secure, explainable renewable-aware extension—not a replacement for the proven EV platform.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0"/>
        <w:sz w:val="16"/>
      </w:rPr>
      <w:t>HackOut'26 | PLUGIN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0"/>
        <w:sz w:val="16"/>
      </w:rPr>
      <w:t>PLUGIN — Renewable-Aware EV Charging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PLUGIN App Flow and Requirements</dc:title>
  <dc:subject>HackOut'26 renewable-aware EV charging ideation and implemented MVP</dc:subject>
  <dc:creator>PLUGIN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