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rulebound-unstop-banner.png"/>
                    <pic:cNvPicPr/>
                  </pic:nvPicPr>
                  <pic:blipFill>
                    <a:blip r:embed="rId11"/>
                    <a:stretch>
                      <a:fillRect/>
                    </a:stretch>
                  </pic:blipFill>
                  <pic:spPr>
                    <a:xfrm>
                      <a:off x="0" y="0"/>
                      <a:ext cx="5943600" cy="3343275"/>
                    </a:xfrm>
                    <a:prstGeom prst="rect"/>
                  </pic:spPr>
                </pic:pic>
              </a:graphicData>
            </a:graphic>
          </wp:inline>
        </w:drawing>
      </w:r>
    </w:p>
    <w:p>
      <w:pPr>
        <w:spacing w:before="240" w:after="100"/>
        <w:jc w:val="center"/>
      </w:pPr>
      <w:r>
        <w:rPr>
          <w:rFonts w:ascii="Calibri" w:hAnsi="Calibri"/>
          <w:b/>
          <w:i w:val="0"/>
          <w:color w:val="E96F63"/>
          <w:sz w:val="20"/>
        </w:rPr>
        <w:t>OFFICIAL CANDIDATE GUIDE</w:t>
      </w:r>
    </w:p>
    <w:p>
      <w:pPr>
        <w:spacing w:after="60"/>
        <w:jc w:val="center"/>
      </w:pPr>
      <w:r>
        <w:rPr>
          <w:rFonts w:ascii="Calibri" w:hAnsi="Calibri"/>
          <w:b/>
          <w:i w:val="0"/>
          <w:color w:val="0B1A49"/>
          <w:sz w:val="58"/>
        </w:rPr>
        <w:t>RuleBound</w:t>
      </w:r>
    </w:p>
    <w:p>
      <w:pPr>
        <w:spacing w:after="240"/>
        <w:jc w:val="center"/>
      </w:pPr>
      <w:r>
        <w:rPr>
          <w:rFonts w:ascii="Calibri" w:hAnsi="Calibri"/>
          <w:b/>
          <w:i w:val="0"/>
          <w:color w:val="315CEB"/>
          <w:sz w:val="30"/>
        </w:rPr>
        <w:t>The Sealed Build Challenge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EF4FF"/>
          </w:tcPr>
          <w:p>
            <w:pPr>
              <w:spacing w:after="40"/>
            </w:pPr>
            <w:r>
              <w:rPr>
                <w:rFonts w:ascii="Calibri" w:hAnsi="Calibri"/>
                <w:b/>
                <w:i w:val="0"/>
                <w:color w:val="E96F63"/>
                <w:sz w:val="18"/>
              </w:rPr>
              <w:t>THE PROMISE</w:t>
            </w:r>
          </w:p>
          <w:p>
            <w:pPr>
              <w:spacing w:after="0" w:line="283" w:lineRule="auto"/>
            </w:pPr>
            <w:r>
              <w:rPr>
                <w:rFonts w:ascii="Calibri" w:hAnsi="Calibri"/>
                <w:b w:val="0"/>
                <w:i w:val="0"/>
                <w:color w:val="172033"/>
                <w:sz w:val="21"/>
              </w:rPr>
              <w:t>You will not see the problem until registration closes. Every registered participant receives the same brief, the same synthetic data and the same starter kit at the same time. Then the 48-hour clock begins.</w:t>
            </w:r>
          </w:p>
        </w:tc>
      </w:tr>
    </w:tbl>
    <w:p>
      <w:pPr>
        <w:spacing w:after="0"/>
      </w:pPr>
    </w:p>
    <w:p>
      <w:pPr>
        <w:jc w:val="center"/>
      </w:pPr>
      <w:r>
        <w:rPr>
          <w:rFonts w:ascii="Calibri" w:hAnsi="Calibri"/>
          <w:b w:val="0"/>
          <w:i w:val="0"/>
          <w:color w:val="5B687C"/>
          <w:sz w:val="18"/>
        </w:rPr>
        <w:t>Published by LV8 Tech  |  18 August 2026  |  All times IST</w:t>
      </w:r>
    </w:p>
    <w:p>
      <w:r>
        <w:br w:type="page"/>
      </w:r>
    </w:p>
    <w:p>
      <w:pPr>
        <w:pStyle w:val="Heading1"/>
      </w:pPr>
      <w:r>
        <w:t>1. At a Glance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tcMar>
              <w:top w:w="80" w:type="dxa"/>
              <w:start w:w="120" w:type="dxa"/>
              <w:bottom w:w="80" w:type="dxa"/>
              <w:end w:w="120" w:type="dxa"/>
            </w:tcMar>
            <w:shd w:fill="0B1A49"/>
            <w:vAlign w:val="center"/>
          </w:tcPr>
          <w:p>
            <w:pPr>
              <w:spacing w:after="0"/>
            </w:pPr>
            <w:r>
              <w:rPr>
                <w:rFonts w:ascii="Calibri" w:hAnsi="Calibri"/>
                <w:b/>
                <w:i w:val="0"/>
                <w:color w:val="FFFFFF"/>
                <w:sz w:val="18"/>
              </w:rPr>
              <w:t>Item</w:t>
            </w:r>
          </w:p>
        </w:tc>
        <w:tc>
          <w:tcPr>
            <w:tcW w:type="dxa" w:w="6760"/>
            <w:tcMar>
              <w:top w:w="80" w:type="dxa"/>
              <w:start w:w="120" w:type="dxa"/>
              <w:bottom w:w="80" w:type="dxa"/>
              <w:end w:w="120" w:type="dxa"/>
            </w:tcMar>
            <w:shd w:fill="0B1A49"/>
            <w:vAlign w:val="center"/>
          </w:tcPr>
          <w:p>
            <w:pPr>
              <w:spacing w:after="0"/>
            </w:pPr>
            <w:r>
              <w:rPr>
                <w:rFonts w:ascii="Calibri" w:hAnsi="Calibri"/>
                <w:b/>
                <w:i w:val="0"/>
                <w:color w:val="FFFFFF"/>
                <w:sz w:val="18"/>
              </w:rPr>
              <w:t>Candidate information</w:t>
            </w:r>
          </w:p>
        </w:tc>
      </w:tr>
      <w:tr>
        <w:trPr>
          <w:cantSplit/>
        </w:trPr>
        <w:tc>
          <w:tcPr>
            <w:tcW w:type="dxa" w:w="2600"/>
            <w:vAlign w:val="top"/>
          </w:tcPr>
          <w:p>
            <w:pPr>
              <w:spacing w:after="0" w:line="269" w:lineRule="auto"/>
            </w:pPr>
            <w:r>
              <w:rPr>
                <w:rFonts w:ascii="Calibri" w:hAnsi="Calibri"/>
                <w:b w:val="0"/>
                <w:i w:val="0"/>
                <w:color w:val="172033"/>
                <w:sz w:val="18"/>
              </w:rPr>
              <w:t>Organizer</w:t>
            </w:r>
          </w:p>
        </w:tc>
        <w:tc>
          <w:tcPr>
            <w:tcW w:type="dxa" w:w="6760"/>
            <w:vAlign w:val="top"/>
          </w:tcPr>
          <w:p>
            <w:pPr>
              <w:spacing w:after="0" w:line="269" w:lineRule="auto"/>
            </w:pPr>
            <w:r>
              <w:rPr>
                <w:rFonts w:ascii="Calibri" w:hAnsi="Calibri"/>
                <w:b w:val="0"/>
                <w:i w:val="0"/>
                <w:color w:val="172033"/>
                <w:sz w:val="18"/>
              </w:rPr>
              <w:t>LV8 Tech</w:t>
            </w:r>
          </w:p>
        </w:tc>
      </w:tr>
      <w:tr>
        <w:trPr>
          <w:cantSplit/>
        </w:trPr>
        <w:tc>
          <w:tcPr>
            <w:tcW w:type="dxa" w:w="2600"/>
            <w:shd w:fill="F6F8FC"/>
            <w:vAlign w:val="top"/>
          </w:tcPr>
          <w:p>
            <w:pPr>
              <w:spacing w:after="0" w:line="269" w:lineRule="auto"/>
            </w:pPr>
            <w:r>
              <w:rPr>
                <w:rFonts w:ascii="Calibri" w:hAnsi="Calibri"/>
                <w:b w:val="0"/>
                <w:i w:val="0"/>
                <w:color w:val="172033"/>
                <w:sz w:val="18"/>
              </w:rPr>
              <w:t>Format</w:t>
            </w:r>
          </w:p>
        </w:tc>
        <w:tc>
          <w:tcPr>
            <w:tcW w:type="dxa" w:w="6760"/>
            <w:shd w:fill="F6F8FC"/>
            <w:vAlign w:val="top"/>
          </w:tcPr>
          <w:p>
            <w:pPr>
              <w:spacing w:after="0" w:line="269" w:lineRule="auto"/>
            </w:pPr>
            <w:r>
              <w:rPr>
                <w:rFonts w:ascii="Calibri" w:hAnsi="Calibri"/>
                <w:b w:val="0"/>
                <w:i w:val="0"/>
                <w:color w:val="172033"/>
                <w:sz w:val="18"/>
              </w:rPr>
              <w:t>Online sealed-brief hackathon; three rounds</w:t>
            </w:r>
          </w:p>
        </w:tc>
      </w:tr>
      <w:tr>
        <w:trPr>
          <w:cantSplit/>
        </w:trPr>
        <w:tc>
          <w:tcPr>
            <w:tcW w:type="dxa" w:w="2600"/>
            <w:vAlign w:val="top"/>
          </w:tcPr>
          <w:p>
            <w:pPr>
              <w:spacing w:after="0" w:line="269" w:lineRule="auto"/>
            </w:pPr>
            <w:r>
              <w:rPr>
                <w:rFonts w:ascii="Calibri" w:hAnsi="Calibri"/>
                <w:b w:val="0"/>
                <w:i w:val="0"/>
                <w:color w:val="172033"/>
                <w:sz w:val="18"/>
              </w:rPr>
              <w:t>Participation</w:t>
            </w:r>
          </w:p>
        </w:tc>
        <w:tc>
          <w:tcPr>
            <w:tcW w:type="dxa" w:w="6760"/>
            <w:vAlign w:val="top"/>
          </w:tcPr>
          <w:p>
            <w:pPr>
              <w:spacing w:after="0" w:line="269" w:lineRule="auto"/>
            </w:pPr>
            <w:r>
              <w:rPr>
                <w:rFonts w:ascii="Calibri" w:hAnsi="Calibri"/>
                <w:b w:val="0"/>
                <w:i w:val="0"/>
                <w:color w:val="172033"/>
                <w:sz w:val="18"/>
              </w:rPr>
              <w:t>Individual participation only</w:t>
            </w:r>
          </w:p>
        </w:tc>
      </w:tr>
      <w:tr>
        <w:trPr>
          <w:cantSplit/>
        </w:trPr>
        <w:tc>
          <w:tcPr>
            <w:tcW w:type="dxa" w:w="2600"/>
            <w:shd w:fill="F6F8FC"/>
            <w:vAlign w:val="top"/>
          </w:tcPr>
          <w:p>
            <w:pPr>
              <w:spacing w:after="0" w:line="269" w:lineRule="auto"/>
            </w:pPr>
            <w:r>
              <w:rPr>
                <w:rFonts w:ascii="Calibri" w:hAnsi="Calibri"/>
                <w:b w:val="0"/>
                <w:i w:val="0"/>
                <w:color w:val="172033"/>
                <w:sz w:val="18"/>
              </w:rPr>
              <w:t>Registration</w:t>
            </w:r>
          </w:p>
        </w:tc>
        <w:tc>
          <w:tcPr>
            <w:tcW w:type="dxa" w:w="6760"/>
            <w:shd w:fill="F6F8FC"/>
            <w:vAlign w:val="top"/>
          </w:tcPr>
          <w:p>
            <w:pPr>
              <w:spacing w:after="0" w:line="269" w:lineRule="auto"/>
            </w:pPr>
            <w:r>
              <w:rPr>
                <w:rFonts w:ascii="Calibri" w:hAnsi="Calibri"/>
                <w:b w:val="0"/>
                <w:i w:val="0"/>
                <w:color w:val="172033"/>
                <w:sz w:val="18"/>
              </w:rPr>
              <w:t>18-24 August 2026; closes 24 August at 11:59 PM IST</w:t>
            </w:r>
          </w:p>
        </w:tc>
      </w:tr>
      <w:tr>
        <w:trPr>
          <w:cantSplit/>
        </w:trPr>
        <w:tc>
          <w:tcPr>
            <w:tcW w:type="dxa" w:w="2600"/>
            <w:vAlign w:val="top"/>
          </w:tcPr>
          <w:p>
            <w:pPr>
              <w:spacing w:after="0" w:line="269" w:lineRule="auto"/>
            </w:pPr>
            <w:r>
              <w:rPr>
                <w:rFonts w:ascii="Calibri" w:hAnsi="Calibri"/>
                <w:b w:val="0"/>
                <w:i w:val="0"/>
                <w:color w:val="172033"/>
                <w:sz w:val="18"/>
              </w:rPr>
              <w:t>Round 1</w:t>
            </w:r>
          </w:p>
        </w:tc>
        <w:tc>
          <w:tcPr>
            <w:tcW w:type="dxa" w:w="6760"/>
            <w:vAlign w:val="top"/>
          </w:tcPr>
          <w:p>
            <w:pPr>
              <w:spacing w:after="0" w:line="269" w:lineRule="auto"/>
            </w:pPr>
            <w:r>
              <w:rPr>
                <w:rFonts w:ascii="Calibri" w:hAnsi="Calibri"/>
                <w:b w:val="0"/>
                <w:i w:val="0"/>
                <w:color w:val="172033"/>
                <w:sz w:val="18"/>
              </w:rPr>
              <w:t>25 August 10:00 AM to 27 August 10:00 AM IST; every registrant participates</w:t>
            </w:r>
          </w:p>
        </w:tc>
      </w:tr>
      <w:tr>
        <w:trPr>
          <w:cantSplit/>
        </w:trPr>
        <w:tc>
          <w:tcPr>
            <w:tcW w:type="dxa" w:w="2600"/>
            <w:shd w:fill="F6F8FC"/>
            <w:vAlign w:val="top"/>
          </w:tcPr>
          <w:p>
            <w:pPr>
              <w:spacing w:after="0" w:line="269" w:lineRule="auto"/>
            </w:pPr>
            <w:r>
              <w:rPr>
                <w:rFonts w:ascii="Calibri" w:hAnsi="Calibri"/>
                <w:b w:val="0"/>
                <w:i w:val="0"/>
                <w:color w:val="172033"/>
                <w:sz w:val="18"/>
              </w:rPr>
              <w:t>Round 2</w:t>
            </w:r>
          </w:p>
        </w:tc>
        <w:tc>
          <w:tcPr>
            <w:tcW w:type="dxa" w:w="6760"/>
            <w:shd w:fill="F6F8FC"/>
            <w:vAlign w:val="top"/>
          </w:tcPr>
          <w:p>
            <w:pPr>
              <w:spacing w:after="0" w:line="269" w:lineRule="auto"/>
            </w:pPr>
            <w:r>
              <w:rPr>
                <w:rFonts w:ascii="Calibri" w:hAnsi="Calibri"/>
                <w:b w:val="0"/>
                <w:i w:val="0"/>
                <w:color w:val="172033"/>
                <w:sz w:val="18"/>
              </w:rPr>
              <w:t>28 August 2026; live technical defence for the top 8-10</w:t>
            </w:r>
          </w:p>
        </w:tc>
      </w:tr>
      <w:tr>
        <w:trPr>
          <w:cantSplit/>
        </w:trPr>
        <w:tc>
          <w:tcPr>
            <w:tcW w:type="dxa" w:w="2600"/>
            <w:vAlign w:val="top"/>
          </w:tcPr>
          <w:p>
            <w:pPr>
              <w:spacing w:after="0" w:line="269" w:lineRule="auto"/>
            </w:pPr>
            <w:r>
              <w:rPr>
                <w:rFonts w:ascii="Calibri" w:hAnsi="Calibri"/>
                <w:b w:val="0"/>
                <w:i w:val="0"/>
                <w:color w:val="172033"/>
                <w:sz w:val="18"/>
              </w:rPr>
              <w:t>Round 3</w:t>
            </w:r>
          </w:p>
        </w:tc>
        <w:tc>
          <w:tcPr>
            <w:tcW w:type="dxa" w:w="6760"/>
            <w:vAlign w:val="top"/>
          </w:tcPr>
          <w:p>
            <w:pPr>
              <w:spacing w:after="0" w:line="269" w:lineRule="auto"/>
            </w:pPr>
            <w:r>
              <w:rPr>
                <w:rFonts w:ascii="Calibri" w:hAnsi="Calibri"/>
                <w:b w:val="0"/>
                <w:i w:val="0"/>
                <w:color w:val="172033"/>
                <w:sz w:val="18"/>
              </w:rPr>
              <w:t>29 August 10:00 AM to 31 August 10:00 AM IST; four finalists</w:t>
            </w:r>
          </w:p>
        </w:tc>
      </w:tr>
      <w:tr>
        <w:trPr>
          <w:cantSplit/>
        </w:trPr>
        <w:tc>
          <w:tcPr>
            <w:tcW w:type="dxa" w:w="2600"/>
            <w:shd w:fill="F6F8FC"/>
            <w:vAlign w:val="top"/>
          </w:tcPr>
          <w:p>
            <w:pPr>
              <w:spacing w:after="0" w:line="269" w:lineRule="auto"/>
            </w:pPr>
            <w:r>
              <w:rPr>
                <w:rFonts w:ascii="Calibri" w:hAnsi="Calibri"/>
                <w:b w:val="0"/>
                <w:i w:val="0"/>
                <w:color w:val="172033"/>
                <w:sz w:val="18"/>
              </w:rPr>
              <w:t>Winner announcement</w:t>
            </w:r>
          </w:p>
        </w:tc>
        <w:tc>
          <w:tcPr>
            <w:tcW w:type="dxa" w:w="6760"/>
            <w:shd w:fill="F6F8FC"/>
            <w:vAlign w:val="top"/>
          </w:tcPr>
          <w:p>
            <w:pPr>
              <w:spacing w:after="0" w:line="269" w:lineRule="auto"/>
            </w:pPr>
            <w:r>
              <w:rPr>
                <w:rFonts w:ascii="Calibri" w:hAnsi="Calibri"/>
                <w:b w:val="0"/>
                <w:i w:val="0"/>
                <w:color w:val="172033"/>
                <w:sz w:val="18"/>
              </w:rPr>
              <w:t>1 September 2026</w:t>
            </w:r>
          </w:p>
        </w:tc>
      </w:tr>
      <w:tr>
        <w:trPr>
          <w:cantSplit/>
        </w:trPr>
        <w:tc>
          <w:tcPr>
            <w:tcW w:type="dxa" w:w="2600"/>
            <w:vAlign w:val="top"/>
          </w:tcPr>
          <w:p>
            <w:pPr>
              <w:spacing w:after="0" w:line="269" w:lineRule="auto"/>
            </w:pPr>
            <w:r>
              <w:rPr>
                <w:rFonts w:ascii="Calibri" w:hAnsi="Calibri"/>
                <w:b w:val="0"/>
                <w:i w:val="0"/>
                <w:color w:val="172033"/>
                <w:sz w:val="18"/>
              </w:rPr>
              <w:t>Winner prize</w:t>
            </w:r>
          </w:p>
        </w:tc>
        <w:tc>
          <w:tcPr>
            <w:tcW w:type="dxa" w:w="6760"/>
            <w:vAlign w:val="top"/>
          </w:tcPr>
          <w:p>
            <w:pPr>
              <w:spacing w:after="0" w:line="269" w:lineRule="auto"/>
            </w:pPr>
            <w:r>
              <w:rPr>
                <w:rFonts w:ascii="Calibri" w:hAnsi="Calibri"/>
                <w:b w:val="0"/>
                <w:i w:val="0"/>
                <w:color w:val="172033"/>
                <w:sz w:val="18"/>
              </w:rPr>
              <w:t>₹10,000 cash</w:t>
            </w:r>
          </w:p>
        </w:tc>
      </w:tr>
      <w:tr>
        <w:trPr>
          <w:cantSplit/>
        </w:trPr>
        <w:tc>
          <w:tcPr>
            <w:tcW w:type="dxa" w:w="2600"/>
            <w:shd w:fill="F6F8FC"/>
            <w:vAlign w:val="top"/>
          </w:tcPr>
          <w:p>
            <w:pPr>
              <w:spacing w:after="0" w:line="269" w:lineRule="auto"/>
            </w:pPr>
            <w:r>
              <w:rPr>
                <w:rFonts w:ascii="Calibri" w:hAnsi="Calibri"/>
                <w:b w:val="0"/>
                <w:i w:val="0"/>
                <w:color w:val="172033"/>
                <w:sz w:val="18"/>
              </w:rPr>
              <w:t>Internship opportunity</w:t>
            </w:r>
          </w:p>
        </w:tc>
        <w:tc>
          <w:tcPr>
            <w:tcW w:type="dxa" w:w="6760"/>
            <w:shd w:fill="F6F8FC"/>
            <w:vAlign w:val="top"/>
          </w:tcPr>
          <w:p>
            <w:pPr>
              <w:spacing w:after="0" w:line="269" w:lineRule="auto"/>
            </w:pPr>
            <w:r>
              <w:rPr>
                <w:rFonts w:ascii="Calibri" w:hAnsi="Calibri"/>
                <w:b w:val="0"/>
                <w:i w:val="0"/>
                <w:color w:val="172033"/>
                <w:sz w:val="18"/>
              </w:rPr>
              <w:t>Up to two finalists may receive ₹50,000/month paid internship offers, subject to final evaluation and role fit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F1"/>
          </w:tcPr>
          <w:p>
            <w:pPr>
              <w:spacing w:after="40"/>
            </w:pPr>
            <w:r>
              <w:rPr>
                <w:rFonts w:ascii="Calibri" w:hAnsi="Calibri"/>
                <w:b/>
                <w:i w:val="0"/>
                <w:color w:val="E96F63"/>
                <w:sz w:val="18"/>
              </w:rPr>
              <w:t>READ THIS BEFORE REGISTERING</w:t>
            </w:r>
          </w:p>
          <w:p>
            <w:pPr>
              <w:spacing w:after="0" w:line="283" w:lineRule="auto"/>
            </w:pPr>
            <w:r>
              <w:rPr>
                <w:rFonts w:ascii="Calibri" w:hAnsi="Calibri"/>
                <w:b w:val="0"/>
                <w:i w:val="0"/>
                <w:color w:val="172033"/>
                <w:sz w:val="21"/>
              </w:rPr>
              <w:t>This is a sealed challenge. The domain, scoring and submission expectations are public now; the exact problem and files are released only after registration closes.</w:t>
            </w:r>
          </w:p>
        </w:tc>
      </w:tr>
    </w:tbl>
    <w:p>
      <w:pPr>
        <w:spacing w:after="0"/>
      </w:pPr>
    </w:p>
    <w:p>
      <w:pPr>
        <w:pStyle w:val="Heading1"/>
      </w:pPr>
      <w:r>
        <w:t>2. What This Challenge Is About</w:t>
      </w:r>
    </w:p>
    <w:p>
      <w:pPr>
        <w:spacing w:after="120" w:line="300" w:lineRule="auto"/>
      </w:pPr>
      <w:r>
        <w:rPr>
          <w:rFonts w:ascii="Calibri" w:hAnsi="Calibri"/>
          <w:b w:val="0"/>
          <w:i w:val="0"/>
          <w:color w:val="172033"/>
          <w:sz w:val="22"/>
        </w:rPr>
        <w:t>RuleBound tests the boundary between creative AI and deterministic software. Generative systems are good at proposing plausible answers. Real commercial systems also need constraints, traceable decisions and numbers that do not change when the same inputs are run twice.</w:t>
      </w:r>
    </w:p>
    <w:p>
      <w:pPr>
        <w:spacing w:after="120" w:line="300" w:lineRule="auto"/>
      </w:pPr>
      <w:r>
        <w:rPr>
          <w:rFonts w:ascii="Calibri" w:hAnsi="Calibri"/>
          <w:b w:val="0"/>
          <w:i w:val="0"/>
          <w:color w:val="172033"/>
          <w:sz w:val="22"/>
        </w:rPr>
        <w:t>The exact problem is intentionally sealed. The public domain is: constrained AI generation, rules engines, deterministic pricing, structured output and the engineering seam between probabilistic and deterministic components.</w:t>
      </w:r>
    </w:p>
    <w:p>
      <w:pPr>
        <w:pStyle w:val="Heading2"/>
      </w:pPr>
      <w:r>
        <w:t>What is public now</w:t>
      </w:r>
    </w:p>
    <w:p>
      <w:pPr>
        <w:pStyle w:val="ListBullet"/>
        <w:spacing w:after="80" w:line="300" w:lineRule="auto"/>
        <w:ind w:left="540" w:hanging="271"/>
      </w:pPr>
      <w:r>
        <w:rPr>
          <w:rFonts w:ascii="Calibri" w:hAnsi="Calibri"/>
          <w:b w:val="0"/>
          <w:i w:val="0"/>
          <w:color w:val="172033"/>
          <w:sz w:val="22"/>
        </w:rPr>
        <w:t>The theme, format, dates, eligibility, scoring rubric, submission requirements, prize and internship opportunity.</w:t>
      </w:r>
    </w:p>
    <w:p>
      <w:pPr>
        <w:pStyle w:val="ListBullet"/>
        <w:spacing w:after="80" w:line="300" w:lineRule="auto"/>
        <w:ind w:left="540" w:hanging="271"/>
      </w:pPr>
      <w:r>
        <w:rPr>
          <w:rFonts w:ascii="Calibri" w:hAnsi="Calibri"/>
          <w:b w:val="0"/>
          <w:i w:val="0"/>
          <w:color w:val="172033"/>
          <w:sz w:val="22"/>
        </w:rPr>
        <w:t>The technical qualities LV8 Tech is looking for.</w:t>
      </w:r>
    </w:p>
    <w:p>
      <w:pPr>
        <w:pStyle w:val="ListBullet"/>
        <w:spacing w:after="80" w:line="300" w:lineRule="auto"/>
        <w:ind w:left="540" w:hanging="271"/>
      </w:pPr>
      <w:r>
        <w:rPr>
          <w:rFonts w:ascii="Calibri" w:hAnsi="Calibri"/>
          <w:b w:val="0"/>
          <w:i w:val="0"/>
          <w:color w:val="172033"/>
          <w:sz w:val="22"/>
        </w:rPr>
        <w:t>The starter-kit promise and the rules every candidate agrees to.</w:t>
      </w:r>
    </w:p>
    <w:p>
      <w:pPr>
        <w:pStyle w:val="Heading2"/>
      </w:pPr>
      <w:r>
        <w:t>What is released on 25 August at 10:00 AM IST</w:t>
      </w:r>
    </w:p>
    <w:p>
      <w:pPr>
        <w:pStyle w:val="ListBullet"/>
        <w:spacing w:after="80" w:line="300" w:lineRule="auto"/>
        <w:ind w:left="540" w:hanging="271"/>
      </w:pPr>
      <w:r>
        <w:rPr>
          <w:rFonts w:ascii="Calibri" w:hAnsi="Calibri"/>
          <w:b w:val="0"/>
          <w:i w:val="0"/>
          <w:color w:val="172033"/>
          <w:sz w:val="22"/>
        </w:rPr>
        <w:t>The complete problem statement.</w:t>
      </w:r>
    </w:p>
    <w:p>
      <w:pPr>
        <w:pStyle w:val="ListBullet"/>
        <w:spacing w:after="80" w:line="300" w:lineRule="auto"/>
        <w:ind w:left="540" w:hanging="271"/>
      </w:pPr>
      <w:r>
        <w:rPr>
          <w:rFonts w:ascii="Calibri" w:hAnsi="Calibri"/>
          <w:b w:val="0"/>
          <w:i w:val="0"/>
          <w:color w:val="172033"/>
          <w:sz w:val="22"/>
        </w:rPr>
        <w:t>A synthetic dataset and machine-readable rule pack.</w:t>
      </w:r>
    </w:p>
    <w:p>
      <w:pPr>
        <w:pStyle w:val="ListBullet"/>
        <w:spacing w:after="80" w:line="300" w:lineRule="auto"/>
        <w:ind w:left="540" w:hanging="271"/>
      </w:pPr>
      <w:r>
        <w:rPr>
          <w:rFonts w:ascii="Calibri" w:hAnsi="Calibri"/>
          <w:b w:val="0"/>
          <w:i w:val="0"/>
          <w:color w:val="172033"/>
          <w:sz w:val="22"/>
        </w:rPr>
        <w:t>Worked reference examples and a submission checklist.</w:t>
      </w:r>
    </w:p>
    <w:p>
      <w:pPr>
        <w:pStyle w:val="ListBullet"/>
        <w:spacing w:after="80" w:line="300" w:lineRule="auto"/>
        <w:ind w:left="540" w:hanging="271"/>
      </w:pPr>
      <w:r>
        <w:rPr>
          <w:rFonts w:ascii="Calibri" w:hAnsi="Calibri"/>
          <w:b w:val="0"/>
          <w:i w:val="0"/>
          <w:color w:val="172033"/>
          <w:sz w:val="22"/>
        </w:rPr>
        <w:t>Schemas, Python and TypeScript loaders, a runner harness, a determinism checker and a reference validator.</w:t>
      </w:r>
    </w:p>
    <w:p>
      <w:pPr>
        <w:pStyle w:val="Heading1"/>
      </w:pPr>
      <w:r>
        <w:t>3. Who Should Participate</w:t>
      </w:r>
    </w:p>
    <w:p>
      <w:pPr>
        <w:spacing w:after="120" w:line="300" w:lineRule="auto"/>
      </w:pPr>
      <w:r>
        <w:rPr>
          <w:rFonts w:ascii="Calibri" w:hAnsi="Calibri"/>
          <w:b w:val="0"/>
          <w:i w:val="0"/>
          <w:color w:val="172033"/>
          <w:sz w:val="22"/>
        </w:rPr>
        <w:t>This is for builders who enjoy unfamiliar systems problems and can explain their architecture under pressure. Portfolio and demonstrated ability matter more than institution or job title.</w:t>
      </w:r>
    </w:p>
    <w:p>
      <w:pPr>
        <w:pStyle w:val="ListBullet"/>
        <w:spacing w:after="80" w:line="300" w:lineRule="auto"/>
        <w:ind w:left="540" w:hanging="271"/>
      </w:pPr>
      <w:r>
        <w:rPr>
          <w:rFonts w:ascii="Calibri" w:hAnsi="Calibri"/>
          <w:b w:val="0"/>
          <w:i w:val="0"/>
          <w:color w:val="172033"/>
          <w:sz w:val="22"/>
        </w:rPr>
        <w:t>Backend and systems engineers with experience in rules engines, pricing engines, schedulers, constraint solvers or compilers.</w:t>
      </w:r>
    </w:p>
    <w:p>
      <w:pPr>
        <w:pStyle w:val="ListBullet"/>
        <w:spacing w:after="80" w:line="300" w:lineRule="auto"/>
        <w:ind w:left="540" w:hanging="271"/>
      </w:pPr>
      <w:r>
        <w:rPr>
          <w:rFonts w:ascii="Calibri" w:hAnsi="Calibri"/>
          <w:b w:val="0"/>
          <w:i w:val="0"/>
          <w:color w:val="172033"/>
          <w:sz w:val="22"/>
        </w:rPr>
        <w:t>AI engineers working with structured output, tool use, constrained decoding or agent orchestration—not prompt writing alone.</w:t>
      </w:r>
    </w:p>
    <w:p>
      <w:pPr>
        <w:pStyle w:val="ListBullet"/>
        <w:spacing w:after="80" w:line="300" w:lineRule="auto"/>
        <w:ind w:left="540" w:hanging="271"/>
      </w:pPr>
      <w:r>
        <w:rPr>
          <w:rFonts w:ascii="Calibri" w:hAnsi="Calibri"/>
          <w:b w:val="0"/>
          <w:i w:val="0"/>
          <w:color w:val="172033"/>
          <w:sz w:val="22"/>
        </w:rPr>
        <w:t>Computational-design creators using OR-Tools, CP-SAT, Grasshopper, Dynamo or similar systems.</w:t>
      </w:r>
    </w:p>
    <w:p>
      <w:pPr>
        <w:pStyle w:val="ListBullet"/>
        <w:spacing w:after="80" w:line="300" w:lineRule="auto"/>
        <w:ind w:left="540" w:hanging="271"/>
      </w:pPr>
      <w:r>
        <w:rPr>
          <w:rFonts w:ascii="Calibri" w:hAnsi="Calibri"/>
          <w:b w:val="0"/>
          <w:i w:val="0"/>
          <w:color w:val="172033"/>
          <w:sz w:val="22"/>
        </w:rPr>
        <w:t>Developers who have parsed CAD or spatial formats such as DXF, DWG, IFC, ezdxf or Autodesk Platform Services.</w:t>
      </w:r>
    </w:p>
    <w:p>
      <w:pPr>
        <w:pStyle w:val="ListBullet"/>
        <w:spacing w:after="80" w:line="300" w:lineRule="auto"/>
        <w:ind w:left="540" w:hanging="271"/>
      </w:pPr>
      <w:r>
        <w:rPr>
          <w:rFonts w:ascii="Calibri" w:hAnsi="Calibri"/>
          <w:b w:val="0"/>
          <w:i w:val="0"/>
          <w:color w:val="172033"/>
          <w:sz w:val="22"/>
        </w:rPr>
        <w:t>Final-year students and recent graduates with a substantial systems project.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EDFDF3"/>
          </w:tcPr>
          <w:p>
            <w:pPr>
              <w:spacing w:after="40"/>
            </w:pPr>
            <w:r>
              <w:rPr>
                <w:rFonts w:ascii="Calibri" w:hAnsi="Calibri"/>
                <w:b/>
                <w:i w:val="0"/>
                <w:color w:val="166534"/>
                <w:sz w:val="18"/>
              </w:rPr>
              <w:t>PRACTICAL FIT</w:t>
            </w:r>
          </w:p>
          <w:p>
            <w:pPr>
              <w:spacing w:after="0" w:line="283" w:lineRule="auto"/>
            </w:pPr>
            <w:r>
              <w:rPr>
                <w:rFonts w:ascii="Calibri" w:hAnsi="Calibri"/>
                <w:b w:val="0"/>
                <w:i w:val="0"/>
                <w:color w:val="172033"/>
                <w:sz w:val="21"/>
              </w:rPr>
              <w:t>You do not need every listed skill. You do need a working software portfolio, comfort with one-command reproducible builds, and the ability to defend your own decisions live.</w:t>
            </w:r>
          </w:p>
        </w:tc>
      </w:tr>
    </w:tbl>
    <w:p>
      <w:pPr>
        <w:spacing w:after="0"/>
      </w:pPr>
    </w:p>
    <w:p>
      <w:pPr>
        <w:pStyle w:val="Heading1"/>
      </w:pPr>
      <w:r>
        <w:t>4. Round Structure and Schedule</w:t>
      </w:r>
    </w:p>
    <w:tbl>
      <w:tblPr>
        <w:tblStyle w:val="TableGrid"/>
        <w:tblW w:type="dxa" w:w="9360"/>
        <w:jc w:val="left"/>
        <w:tblLayout w:type="fixed"/>
        <w:tblLook w:firstColumn="1" w:firstRow="1" w:lastColumn="0" w:lastRow="0" w:noHBand="0" w:noVBand="1" w:val="04A0"/>
        <w:tblInd w:w="120" w:type="dxa"/>
      </w:tblPr>
      <w:tblGrid>
        <w:gridCol w:w="1900"/>
        <w:gridCol w:w="2200"/>
        <w:gridCol w:w="1750"/>
        <w:gridCol w:w="3510"/>
      </w:tblGrid>
      <w:tr>
        <w:trPr>
          <w:tblHeader w:val="true"/>
          <w:cantSplit/>
        </w:trPr>
        <w:tc>
          <w:tcPr>
            <w:tcW w:type="dxa" w:w="1900"/>
            <w:tcMar>
              <w:top w:w="80" w:type="dxa"/>
              <w:start w:w="120" w:type="dxa"/>
              <w:bottom w:w="80" w:type="dxa"/>
              <w:end w:w="120" w:type="dxa"/>
            </w:tcMar>
            <w:shd w:fill="0B1A49"/>
            <w:vAlign w:val="center"/>
          </w:tcPr>
          <w:p>
            <w:pPr>
              <w:spacing w:after="0"/>
            </w:pPr>
            <w:r>
              <w:rPr>
                <w:rFonts w:ascii="Calibri" w:hAnsi="Calibri"/>
                <w:b/>
                <w:i w:val="0"/>
                <w:color w:val="FFFFFF"/>
                <w:sz w:val="17"/>
              </w:rPr>
              <w:t>Phase</w:t>
            </w:r>
          </w:p>
        </w:tc>
        <w:tc>
          <w:tcPr>
            <w:tcW w:type="dxa" w:w="2200"/>
            <w:tcMar>
              <w:top w:w="80" w:type="dxa"/>
              <w:start w:w="120" w:type="dxa"/>
              <w:bottom w:w="80" w:type="dxa"/>
              <w:end w:w="120" w:type="dxa"/>
            </w:tcMar>
            <w:shd w:fill="0B1A49"/>
            <w:vAlign w:val="center"/>
          </w:tcPr>
          <w:p>
            <w:pPr>
              <w:spacing w:after="0"/>
            </w:pPr>
            <w:r>
              <w:rPr>
                <w:rFonts w:ascii="Calibri" w:hAnsi="Calibri"/>
                <w:b/>
                <w:i w:val="0"/>
                <w:color w:val="FFFFFF"/>
                <w:sz w:val="17"/>
              </w:rPr>
              <w:t>Date and time (IST)</w:t>
            </w:r>
          </w:p>
        </w:tc>
        <w:tc>
          <w:tcPr>
            <w:tcW w:type="dxa" w:w="1750"/>
            <w:tcMar>
              <w:top w:w="80" w:type="dxa"/>
              <w:start w:w="120" w:type="dxa"/>
              <w:bottom w:w="80" w:type="dxa"/>
              <w:end w:w="120" w:type="dxa"/>
            </w:tcMar>
            <w:shd w:fill="0B1A49"/>
            <w:vAlign w:val="center"/>
          </w:tcPr>
          <w:p>
            <w:pPr>
              <w:spacing w:after="0"/>
            </w:pPr>
            <w:r>
              <w:rPr>
                <w:rFonts w:ascii="Calibri" w:hAnsi="Calibri"/>
                <w:b/>
                <w:i w:val="0"/>
                <w:color w:val="FFFFFF"/>
                <w:sz w:val="17"/>
              </w:rPr>
              <w:t>Who participates</w:t>
            </w:r>
          </w:p>
        </w:tc>
        <w:tc>
          <w:tcPr>
            <w:tcW w:type="dxa" w:w="3510"/>
            <w:tcMar>
              <w:top w:w="80" w:type="dxa"/>
              <w:start w:w="120" w:type="dxa"/>
              <w:bottom w:w="80" w:type="dxa"/>
              <w:end w:w="120" w:type="dxa"/>
            </w:tcMar>
            <w:shd w:fill="0B1A49"/>
            <w:vAlign w:val="center"/>
          </w:tcPr>
          <w:p>
            <w:pPr>
              <w:spacing w:after="0"/>
            </w:pPr>
            <w:r>
              <w:rPr>
                <w:rFonts w:ascii="Calibri" w:hAnsi="Calibri"/>
                <w:b/>
                <w:i w:val="0"/>
                <w:color w:val="FFFFFF"/>
                <w:sz w:val="17"/>
              </w:rPr>
              <w:t>Purpose</w:t>
            </w:r>
          </w:p>
        </w:tc>
      </w:tr>
      <w:tr>
        <w:trPr>
          <w:cantSplit/>
        </w:trPr>
        <w:tc>
          <w:tcPr>
            <w:tcW w:type="dxa" w:w="1900"/>
            <w:vAlign w:val="top"/>
          </w:tcPr>
          <w:p>
            <w:pPr>
              <w:spacing w:after="0" w:line="269" w:lineRule="auto"/>
            </w:pPr>
            <w:r>
              <w:rPr>
                <w:rFonts w:ascii="Calibri" w:hAnsi="Calibri"/>
                <w:b w:val="0"/>
                <w:i w:val="0"/>
                <w:color w:val="172033"/>
                <w:sz w:val="17"/>
              </w:rPr>
              <w:t>Registration</w:t>
            </w:r>
          </w:p>
        </w:tc>
        <w:tc>
          <w:tcPr>
            <w:tcW w:type="dxa" w:w="2200"/>
            <w:vAlign w:val="top"/>
          </w:tcPr>
          <w:p>
            <w:pPr>
              <w:spacing w:after="0" w:line="269" w:lineRule="auto"/>
            </w:pPr>
            <w:r>
              <w:rPr>
                <w:rFonts w:ascii="Calibri" w:hAnsi="Calibri"/>
                <w:b w:val="0"/>
                <w:i w:val="0"/>
                <w:color w:val="172033"/>
                <w:sz w:val="17"/>
              </w:rPr>
              <w:t>18-24 Aug; closes 24 Aug, 11:59 PM</w:t>
            </w:r>
          </w:p>
        </w:tc>
        <w:tc>
          <w:tcPr>
            <w:tcW w:type="dxa" w:w="1750"/>
            <w:vAlign w:val="top"/>
          </w:tcPr>
          <w:p>
            <w:pPr>
              <w:spacing w:after="0" w:line="269" w:lineRule="auto"/>
            </w:pPr>
            <w:r>
              <w:rPr>
                <w:rFonts w:ascii="Calibri" w:hAnsi="Calibri"/>
                <w:b w:val="0"/>
                <w:i w:val="0"/>
                <w:color w:val="172033"/>
                <w:sz w:val="17"/>
              </w:rPr>
              <w:t>Open</w:t>
            </w:r>
          </w:p>
        </w:tc>
        <w:tc>
          <w:tcPr>
            <w:tcW w:type="dxa" w:w="3510"/>
            <w:vAlign w:val="top"/>
          </w:tcPr>
          <w:p>
            <w:pPr>
              <w:spacing w:after="0" w:line="269" w:lineRule="auto"/>
            </w:pPr>
            <w:r>
              <w:rPr>
                <w:rFonts w:ascii="Calibri" w:hAnsi="Calibri"/>
                <w:b w:val="0"/>
                <w:i w:val="0"/>
                <w:color w:val="172033"/>
                <w:sz w:val="17"/>
              </w:rPr>
              <w:t>Review the public standard and register.</w:t>
            </w:r>
          </w:p>
        </w:tc>
      </w:tr>
      <w:tr>
        <w:trPr>
          <w:cantSplit/>
        </w:trPr>
        <w:tc>
          <w:tcPr>
            <w:tcW w:type="dxa" w:w="1900"/>
            <w:shd w:fill="F6F8FC"/>
            <w:vAlign w:val="top"/>
          </w:tcPr>
          <w:p>
            <w:pPr>
              <w:spacing w:after="0" w:line="269" w:lineRule="auto"/>
            </w:pPr>
            <w:r>
              <w:rPr>
                <w:rFonts w:ascii="Calibri" w:hAnsi="Calibri"/>
                <w:b w:val="0"/>
                <w:i w:val="0"/>
                <w:color w:val="172033"/>
                <w:sz w:val="17"/>
              </w:rPr>
              <w:t>Round 1: Sealed Sprint</w:t>
            </w:r>
          </w:p>
        </w:tc>
        <w:tc>
          <w:tcPr>
            <w:tcW w:type="dxa" w:w="2200"/>
            <w:shd w:fill="F6F8FC"/>
            <w:vAlign w:val="top"/>
          </w:tcPr>
          <w:p>
            <w:pPr>
              <w:spacing w:after="0" w:line="269" w:lineRule="auto"/>
            </w:pPr>
            <w:r>
              <w:rPr>
                <w:rFonts w:ascii="Calibri" w:hAnsi="Calibri"/>
                <w:b w:val="0"/>
                <w:i w:val="0"/>
                <w:color w:val="172033"/>
                <w:sz w:val="17"/>
              </w:rPr>
              <w:t>25 Aug 10:00 - 27 Aug 10:00</w:t>
            </w:r>
          </w:p>
        </w:tc>
        <w:tc>
          <w:tcPr>
            <w:tcW w:type="dxa" w:w="1750"/>
            <w:shd w:fill="F6F8FC"/>
            <w:vAlign w:val="top"/>
          </w:tcPr>
          <w:p>
            <w:pPr>
              <w:spacing w:after="0" w:line="269" w:lineRule="auto"/>
            </w:pPr>
            <w:r>
              <w:rPr>
                <w:rFonts w:ascii="Calibri" w:hAnsi="Calibri"/>
                <w:b w:val="0"/>
                <w:i w:val="0"/>
                <w:color w:val="172033"/>
                <w:sz w:val="17"/>
              </w:rPr>
              <w:t>Every registrant</w:t>
            </w:r>
          </w:p>
        </w:tc>
        <w:tc>
          <w:tcPr>
            <w:tcW w:type="dxa" w:w="3510"/>
            <w:shd w:fill="F6F8FC"/>
            <w:vAlign w:val="top"/>
          </w:tcPr>
          <w:p>
            <w:pPr>
              <w:spacing w:after="0" w:line="269" w:lineRule="auto"/>
            </w:pPr>
            <w:r>
              <w:rPr>
                <w:rFonts w:ascii="Calibri" w:hAnsi="Calibri"/>
                <w:b w:val="0"/>
                <w:i w:val="0"/>
                <w:color w:val="172033"/>
                <w:sz w:val="17"/>
              </w:rPr>
              <w:t>Build a defensible solution to a problem revealed at the start.</w:t>
            </w:r>
          </w:p>
        </w:tc>
      </w:tr>
      <w:tr>
        <w:trPr>
          <w:cantSplit/>
        </w:trPr>
        <w:tc>
          <w:tcPr>
            <w:tcW w:type="dxa" w:w="1900"/>
            <w:vAlign w:val="top"/>
          </w:tcPr>
          <w:p>
            <w:pPr>
              <w:spacing w:after="0" w:line="269" w:lineRule="auto"/>
            </w:pPr>
            <w:r>
              <w:rPr>
                <w:rFonts w:ascii="Calibri" w:hAnsi="Calibri"/>
                <w:b w:val="0"/>
                <w:i w:val="0"/>
                <w:color w:val="172033"/>
                <w:sz w:val="17"/>
              </w:rPr>
              <w:t>Round 2: Live Defence</w:t>
            </w:r>
          </w:p>
        </w:tc>
        <w:tc>
          <w:tcPr>
            <w:tcW w:type="dxa" w:w="2200"/>
            <w:vAlign w:val="top"/>
          </w:tcPr>
          <w:p>
            <w:pPr>
              <w:spacing w:after="0" w:line="269" w:lineRule="auto"/>
            </w:pPr>
            <w:r>
              <w:rPr>
                <w:rFonts w:ascii="Calibri" w:hAnsi="Calibri"/>
                <w:b w:val="0"/>
                <w:i w:val="0"/>
                <w:color w:val="172033"/>
                <w:sz w:val="17"/>
              </w:rPr>
              <w:t>28 Aug; slots from 2:00 PM</w:t>
            </w:r>
          </w:p>
        </w:tc>
        <w:tc>
          <w:tcPr>
            <w:tcW w:type="dxa" w:w="1750"/>
            <w:vAlign w:val="top"/>
          </w:tcPr>
          <w:p>
            <w:pPr>
              <w:spacing w:after="0" w:line="269" w:lineRule="auto"/>
            </w:pPr>
            <w:r>
              <w:rPr>
                <w:rFonts w:ascii="Calibri" w:hAnsi="Calibri"/>
                <w:b w:val="0"/>
                <w:i w:val="0"/>
                <w:color w:val="172033"/>
                <w:sz w:val="17"/>
              </w:rPr>
              <w:t>Top 8-10</w:t>
            </w:r>
          </w:p>
        </w:tc>
        <w:tc>
          <w:tcPr>
            <w:tcW w:type="dxa" w:w="3510"/>
            <w:vAlign w:val="top"/>
          </w:tcPr>
          <w:p>
            <w:pPr>
              <w:spacing w:after="0" w:line="269" w:lineRule="auto"/>
            </w:pPr>
            <w:r>
              <w:rPr>
                <w:rFonts w:ascii="Calibri" w:hAnsi="Calibri"/>
                <w:b w:val="0"/>
                <w:i w:val="0"/>
                <w:color w:val="172033"/>
                <w:sz w:val="17"/>
              </w:rPr>
              <w:t>Run the work live and defend key decisions.</w:t>
            </w:r>
          </w:p>
        </w:tc>
      </w:tr>
      <w:tr>
        <w:trPr>
          <w:cantSplit/>
        </w:trPr>
        <w:tc>
          <w:tcPr>
            <w:tcW w:type="dxa" w:w="1900"/>
            <w:shd w:fill="F6F8FC"/>
            <w:vAlign w:val="top"/>
          </w:tcPr>
          <w:p>
            <w:pPr>
              <w:spacing w:after="0" w:line="269" w:lineRule="auto"/>
            </w:pPr>
            <w:r>
              <w:rPr>
                <w:rFonts w:ascii="Calibri" w:hAnsi="Calibri"/>
                <w:b w:val="0"/>
                <w:i w:val="0"/>
                <w:color w:val="172033"/>
                <w:sz w:val="17"/>
              </w:rPr>
              <w:t>Round 3: Final</w:t>
            </w:r>
          </w:p>
        </w:tc>
        <w:tc>
          <w:tcPr>
            <w:tcW w:type="dxa" w:w="2200"/>
            <w:shd w:fill="F6F8FC"/>
            <w:vAlign w:val="top"/>
          </w:tcPr>
          <w:p>
            <w:pPr>
              <w:spacing w:after="0" w:line="269" w:lineRule="auto"/>
            </w:pPr>
            <w:r>
              <w:rPr>
                <w:rFonts w:ascii="Calibri" w:hAnsi="Calibri"/>
                <w:b w:val="0"/>
                <w:i w:val="0"/>
                <w:color w:val="172033"/>
                <w:sz w:val="17"/>
              </w:rPr>
              <w:t>29 Aug 10:00 - 31 Aug 10:00</w:t>
            </w:r>
          </w:p>
        </w:tc>
        <w:tc>
          <w:tcPr>
            <w:tcW w:type="dxa" w:w="1750"/>
            <w:shd w:fill="F6F8FC"/>
            <w:vAlign w:val="top"/>
          </w:tcPr>
          <w:p>
            <w:pPr>
              <w:spacing w:after="0" w:line="269" w:lineRule="auto"/>
            </w:pPr>
            <w:r>
              <w:rPr>
                <w:rFonts w:ascii="Calibri" w:hAnsi="Calibri"/>
                <w:b w:val="0"/>
                <w:i w:val="0"/>
                <w:color w:val="172033"/>
                <w:sz w:val="17"/>
              </w:rPr>
              <w:t>Four finalists</w:t>
            </w:r>
          </w:p>
        </w:tc>
        <w:tc>
          <w:tcPr>
            <w:tcW w:type="dxa" w:w="3510"/>
            <w:shd w:fill="F6F8FC"/>
            <w:vAlign w:val="top"/>
          </w:tcPr>
          <w:p>
            <w:pPr>
              <w:spacing w:after="0" w:line="269" w:lineRule="auto"/>
            </w:pPr>
            <w:r>
              <w:rPr>
                <w:rFonts w:ascii="Calibri" w:hAnsi="Calibri"/>
                <w:b w:val="0"/>
                <w:i w:val="0"/>
                <w:color w:val="172033"/>
                <w:sz w:val="17"/>
              </w:rPr>
              <w:t>Adapt the existing solution to a change released at the start.</w:t>
            </w:r>
          </w:p>
        </w:tc>
      </w:tr>
      <w:tr>
        <w:trPr>
          <w:cantSplit/>
        </w:trPr>
        <w:tc>
          <w:tcPr>
            <w:tcW w:type="dxa" w:w="1900"/>
            <w:vAlign w:val="top"/>
          </w:tcPr>
          <w:p>
            <w:pPr>
              <w:spacing w:after="0" w:line="269" w:lineRule="auto"/>
            </w:pPr>
            <w:r>
              <w:rPr>
                <w:rFonts w:ascii="Calibri" w:hAnsi="Calibri"/>
                <w:b w:val="0"/>
                <w:i w:val="0"/>
                <w:color w:val="172033"/>
                <w:sz w:val="17"/>
              </w:rPr>
              <w:t>Decision</w:t>
            </w:r>
          </w:p>
        </w:tc>
        <w:tc>
          <w:tcPr>
            <w:tcW w:type="dxa" w:w="2200"/>
            <w:vAlign w:val="top"/>
          </w:tcPr>
          <w:p>
            <w:pPr>
              <w:spacing w:after="0" w:line="269" w:lineRule="auto"/>
            </w:pPr>
            <w:r>
              <w:rPr>
                <w:rFonts w:ascii="Calibri" w:hAnsi="Calibri"/>
                <w:b w:val="0"/>
                <w:i w:val="0"/>
                <w:color w:val="172033"/>
                <w:sz w:val="17"/>
              </w:rPr>
              <w:t>1 Sep</w:t>
            </w:r>
          </w:p>
        </w:tc>
        <w:tc>
          <w:tcPr>
            <w:tcW w:type="dxa" w:w="1750"/>
            <w:vAlign w:val="top"/>
          </w:tcPr>
          <w:p>
            <w:pPr>
              <w:spacing w:after="0" w:line="269" w:lineRule="auto"/>
            </w:pPr>
            <w:r>
              <w:rPr>
                <w:rFonts w:ascii="Calibri" w:hAnsi="Calibri"/>
                <w:b w:val="0"/>
                <w:i w:val="0"/>
                <w:color w:val="172033"/>
                <w:sz w:val="17"/>
              </w:rPr>
              <w:t>Finalists</w:t>
            </w:r>
          </w:p>
        </w:tc>
        <w:tc>
          <w:tcPr>
            <w:tcW w:type="dxa" w:w="3510"/>
            <w:vAlign w:val="top"/>
          </w:tcPr>
          <w:p>
            <w:pPr>
              <w:spacing w:after="0" w:line="269" w:lineRule="auto"/>
            </w:pPr>
            <w:r>
              <w:rPr>
                <w:rFonts w:ascii="Calibri" w:hAnsi="Calibri"/>
                <w:b w:val="0"/>
                <w:i w:val="0"/>
                <w:color w:val="172033"/>
                <w:sz w:val="17"/>
              </w:rPr>
              <w:t>Winner and internship outcomes communicated.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8E8"/>
          </w:tcPr>
          <w:p>
            <w:pPr>
              <w:spacing w:after="40"/>
            </w:pPr>
            <w:r>
              <w:rPr>
                <w:rFonts w:ascii="Calibri" w:hAnsi="Calibri"/>
                <w:b/>
                <w:i w:val="0"/>
                <w:color w:val="B87A00"/>
                <w:sz w:val="18"/>
              </w:rPr>
              <w:t>HARD DEADLINES</w:t>
            </w:r>
          </w:p>
          <w:p>
            <w:pPr>
              <w:spacing w:after="0" w:line="283" w:lineRule="auto"/>
            </w:pPr>
            <w:r>
              <w:rPr>
                <w:rFonts w:ascii="Calibri" w:hAnsi="Calibri"/>
                <w:b w:val="0"/>
                <w:i w:val="0"/>
                <w:color w:val="172033"/>
                <w:sz w:val="21"/>
              </w:rPr>
              <w:t>Registration and round deadlines are hard closes. Late entry or late submission may be rejected.</w:t>
            </w:r>
          </w:p>
        </w:tc>
      </w:tr>
    </w:tbl>
    <w:p>
      <w:pPr>
        <w:spacing w:after="0"/>
      </w:pPr>
    </w:p>
    <w:p>
      <w:r>
        <w:br w:type="page"/>
      </w:r>
    </w:p>
    <w:p>
      <w:pPr>
        <w:pStyle w:val="Heading1"/>
      </w:pPr>
      <w:r>
        <w:t>5. Round 1 Submission Requirements</w:t>
      </w:r>
    </w:p>
    <w:p>
      <w:pPr>
        <w:spacing w:after="120" w:line="300" w:lineRule="auto"/>
      </w:pPr>
      <w:r>
        <w:rPr>
          <w:rFonts w:ascii="Calibri" w:hAnsi="Calibri"/>
          <w:b w:val="0"/>
          <w:i w:val="0"/>
          <w:color w:val="172033"/>
          <w:sz w:val="22"/>
        </w:rPr>
        <w:t>Every registrant enters Round 1. The detailed technical task arrives with the reveal pack. Candidates should be prepared to submit the following by 27 August at 10:00 AM IST:</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shd w:fill="0B1A49"/>
            <w:vAlign w:val="center"/>
          </w:tcPr>
          <w:p>
            <w:pPr>
              <w:spacing w:after="0"/>
            </w:pPr>
            <w:r>
              <w:rPr>
                <w:rFonts w:ascii="Calibri" w:hAnsi="Calibri"/>
                <w:b/>
                <w:i w:val="0"/>
                <w:color w:val="FFFFFF"/>
                <w:sz w:val="18"/>
              </w:rPr>
              <w:t>Deliverable</w:t>
            </w:r>
          </w:p>
        </w:tc>
        <w:tc>
          <w:tcPr>
            <w:tcW w:type="dxa" w:w="7060"/>
            <w:tcMar>
              <w:top w:w="80" w:type="dxa"/>
              <w:start w:w="120" w:type="dxa"/>
              <w:bottom w:w="80" w:type="dxa"/>
              <w:end w:w="120" w:type="dxa"/>
            </w:tcMar>
            <w:shd w:fill="0B1A49"/>
            <w:vAlign w:val="center"/>
          </w:tcPr>
          <w:p>
            <w:pPr>
              <w:spacing w:after="0"/>
            </w:pPr>
            <w:r>
              <w:rPr>
                <w:rFonts w:ascii="Calibri" w:hAnsi="Calibri"/>
                <w:b/>
                <w:i w:val="0"/>
                <w:color w:val="FFFFFF"/>
                <w:sz w:val="18"/>
              </w:rPr>
              <w:t>Requirement</w:t>
            </w:r>
          </w:p>
        </w:tc>
      </w:tr>
      <w:tr>
        <w:trPr>
          <w:cantSplit/>
        </w:trPr>
        <w:tc>
          <w:tcPr>
            <w:tcW w:type="dxa" w:w="2300"/>
            <w:vAlign w:val="top"/>
          </w:tcPr>
          <w:p>
            <w:pPr>
              <w:spacing w:after="0" w:line="269" w:lineRule="auto"/>
            </w:pPr>
            <w:r>
              <w:rPr>
                <w:rFonts w:ascii="Calibri" w:hAnsi="Calibri"/>
                <w:b w:val="0"/>
                <w:i w:val="0"/>
                <w:color w:val="172033"/>
                <w:sz w:val="18"/>
              </w:rPr>
              <w:t>Repository</w:t>
            </w:r>
          </w:p>
        </w:tc>
        <w:tc>
          <w:tcPr>
            <w:tcW w:type="dxa" w:w="7060"/>
            <w:vAlign w:val="top"/>
          </w:tcPr>
          <w:p>
            <w:pPr>
              <w:spacing w:after="0" w:line="269" w:lineRule="auto"/>
            </w:pPr>
            <w:r>
              <w:rPr>
                <w:rFonts w:ascii="Calibri" w:hAnsi="Calibri"/>
                <w:b w:val="0"/>
                <w:i w:val="0"/>
                <w:color w:val="172033"/>
                <w:sz w:val="18"/>
              </w:rPr>
              <w:t>Shared with the judging account and runnable from one documented command against an input directory.</w:t>
            </w:r>
          </w:p>
        </w:tc>
      </w:tr>
      <w:tr>
        <w:trPr>
          <w:cantSplit/>
        </w:trPr>
        <w:tc>
          <w:tcPr>
            <w:tcW w:type="dxa" w:w="2300"/>
            <w:shd w:fill="F6F8FC"/>
            <w:vAlign w:val="top"/>
          </w:tcPr>
          <w:p>
            <w:pPr>
              <w:spacing w:after="0" w:line="269" w:lineRule="auto"/>
            </w:pPr>
            <w:r>
              <w:rPr>
                <w:rFonts w:ascii="Calibri" w:hAnsi="Calibri"/>
                <w:b w:val="0"/>
                <w:i w:val="0"/>
                <w:color w:val="172033"/>
                <w:sz w:val="18"/>
              </w:rPr>
              <w:t>ARCHITECTURE.md</w:t>
            </w:r>
          </w:p>
        </w:tc>
        <w:tc>
          <w:tcPr>
            <w:tcW w:type="dxa" w:w="7060"/>
            <w:shd w:fill="F6F8FC"/>
            <w:vAlign w:val="top"/>
          </w:tcPr>
          <w:p>
            <w:pPr>
              <w:spacing w:after="0" w:line="269" w:lineRule="auto"/>
            </w:pPr>
            <w:r>
              <w:rPr>
                <w:rFonts w:ascii="Calibri" w:hAnsi="Calibri"/>
                <w:b w:val="0"/>
                <w:i w:val="0"/>
                <w:color w:val="172033"/>
                <w:sz w:val="18"/>
              </w:rPr>
              <w:t>Maximum two pages, including a required section titled “Arbitration.”</w:t>
            </w:r>
          </w:p>
        </w:tc>
      </w:tr>
      <w:tr>
        <w:trPr>
          <w:cantSplit/>
        </w:trPr>
        <w:tc>
          <w:tcPr>
            <w:tcW w:type="dxa" w:w="2300"/>
            <w:vAlign w:val="top"/>
          </w:tcPr>
          <w:p>
            <w:pPr>
              <w:spacing w:after="0" w:line="269" w:lineRule="auto"/>
            </w:pPr>
            <w:r>
              <w:rPr>
                <w:rFonts w:ascii="Calibri" w:hAnsi="Calibri"/>
                <w:b w:val="0"/>
                <w:i w:val="0"/>
                <w:color w:val="172033"/>
                <w:sz w:val="18"/>
              </w:rPr>
              <w:t>Demo video</w:t>
            </w:r>
          </w:p>
        </w:tc>
        <w:tc>
          <w:tcPr>
            <w:tcW w:type="dxa" w:w="7060"/>
            <w:vAlign w:val="top"/>
          </w:tcPr>
          <w:p>
            <w:pPr>
              <w:spacing w:after="0" w:line="269" w:lineRule="auto"/>
            </w:pPr>
            <w:r>
              <w:rPr>
                <w:rFonts w:ascii="Calibri" w:hAnsi="Calibri"/>
                <w:b w:val="0"/>
                <w:i w:val="0"/>
                <w:color w:val="172033"/>
                <w:sz w:val="18"/>
              </w:rPr>
              <w:t>Maximum five minutes, showing one end-to-end case including a deliberate constraint violation and its repair.</w:t>
            </w:r>
          </w:p>
        </w:tc>
      </w:tr>
      <w:tr>
        <w:trPr>
          <w:cantSplit/>
        </w:trPr>
        <w:tc>
          <w:tcPr>
            <w:tcW w:type="dxa" w:w="2300"/>
            <w:shd w:fill="F6F8FC"/>
            <w:vAlign w:val="top"/>
          </w:tcPr>
          <w:p>
            <w:pPr>
              <w:spacing w:after="0" w:line="269" w:lineRule="auto"/>
            </w:pPr>
            <w:r>
              <w:rPr>
                <w:rFonts w:ascii="Calibri" w:hAnsi="Calibri"/>
                <w:b w:val="0"/>
                <w:i w:val="0"/>
                <w:color w:val="172033"/>
                <w:sz w:val="18"/>
              </w:rPr>
              <w:t>Committed output</w:t>
            </w:r>
          </w:p>
        </w:tc>
        <w:tc>
          <w:tcPr>
            <w:tcW w:type="dxa" w:w="7060"/>
            <w:shd w:fill="F6F8FC"/>
            <w:vAlign w:val="top"/>
          </w:tcPr>
          <w:p>
            <w:pPr>
              <w:spacing w:after="0" w:line="269" w:lineRule="auto"/>
            </w:pPr>
            <w:r>
              <w:rPr>
                <w:rFonts w:ascii="Calibri" w:hAnsi="Calibri"/>
                <w:b w:val="0"/>
                <w:i w:val="0"/>
                <w:color w:val="172033"/>
                <w:sz w:val="18"/>
              </w:rPr>
              <w:t>Output generated for every released specification.</w:t>
            </w:r>
          </w:p>
        </w:tc>
      </w:tr>
      <w:tr>
        <w:trPr>
          <w:cantSplit/>
        </w:trPr>
        <w:tc>
          <w:tcPr>
            <w:tcW w:type="dxa" w:w="2300"/>
            <w:vAlign w:val="top"/>
          </w:tcPr>
          <w:p>
            <w:pPr>
              <w:spacing w:after="0" w:line="269" w:lineRule="auto"/>
            </w:pPr>
            <w:r>
              <w:rPr>
                <w:rFonts w:ascii="Calibri" w:hAnsi="Calibri"/>
                <w:b w:val="0"/>
                <w:i w:val="0"/>
                <w:color w:val="172033"/>
                <w:sz w:val="18"/>
              </w:rPr>
              <w:t>Determinism statement</w:t>
            </w:r>
          </w:p>
        </w:tc>
        <w:tc>
          <w:tcPr>
            <w:tcW w:type="dxa" w:w="7060"/>
            <w:vAlign w:val="top"/>
          </w:tcPr>
          <w:p>
            <w:pPr>
              <w:spacing w:after="0" w:line="269" w:lineRule="auto"/>
            </w:pPr>
            <w:r>
              <w:rPr>
                <w:rFonts w:ascii="Calibri" w:hAnsi="Calibri"/>
                <w:b w:val="0"/>
                <w:i w:val="0"/>
                <w:color w:val="172033"/>
                <w:sz w:val="18"/>
              </w:rPr>
              <w:t>The exact command judges can run twice to verify byte-identical output.</w:t>
            </w:r>
          </w:p>
        </w:tc>
      </w:tr>
    </w:tbl>
    <w:p>
      <w:pPr>
        <w:spacing w:after="0"/>
      </w:pPr>
    </w:p>
    <w:p>
      <w:pPr>
        <w:pStyle w:val="Heading2"/>
      </w:pPr>
      <w:r>
        <w:t>What will not earn points</w:t>
      </w:r>
    </w:p>
    <w:p>
      <w:pPr>
        <w:pStyle w:val="ListBullet"/>
        <w:spacing w:after="80" w:line="300" w:lineRule="auto"/>
        <w:ind w:left="540" w:hanging="271"/>
      </w:pPr>
      <w:r>
        <w:rPr>
          <w:rFonts w:ascii="Calibri" w:hAnsi="Calibri"/>
          <w:b w:val="0"/>
          <w:i w:val="0"/>
          <w:color w:val="172033"/>
          <w:sz w:val="22"/>
        </w:rPr>
        <w:t>UI polish. A terminal and a static plan view score the same as a polished web interface.</w:t>
      </w:r>
    </w:p>
    <w:p>
      <w:pPr>
        <w:pStyle w:val="ListBullet"/>
        <w:spacing w:after="80" w:line="300" w:lineRule="auto"/>
        <w:ind w:left="540" w:hanging="271"/>
      </w:pPr>
      <w:r>
        <w:rPr>
          <w:rFonts w:ascii="Calibri" w:hAnsi="Calibri"/>
          <w:b w:val="0"/>
          <w:i w:val="0"/>
          <w:color w:val="172033"/>
          <w:sz w:val="22"/>
        </w:rPr>
        <w:t>Unrelated features such as authentication, billing, multi-tenancy or mobile support.</w:t>
      </w:r>
    </w:p>
    <w:p>
      <w:pPr>
        <w:pStyle w:val="ListBullet"/>
        <w:spacing w:after="80" w:line="300" w:lineRule="auto"/>
        <w:ind w:left="540" w:hanging="271"/>
      </w:pPr>
      <w:r>
        <w:rPr>
          <w:rFonts w:ascii="Calibri" w:hAnsi="Calibri"/>
          <w:b w:val="0"/>
          <w:i w:val="0"/>
          <w:color w:val="172033"/>
          <w:sz w:val="22"/>
        </w:rPr>
        <w:t>A model-generated price. No language model may operate inside the deterministic pricing path.</w:t>
      </w:r>
    </w:p>
    <w:p>
      <w:pPr>
        <w:pStyle w:val="Heading2"/>
      </w:pPr>
      <w:r>
        <w:t>Optional bonus tracks</w:t>
      </w:r>
    </w:p>
    <w:p>
      <w:pPr>
        <w:pStyle w:val="ListBullet"/>
        <w:spacing w:after="80" w:line="300" w:lineRule="auto"/>
        <w:ind w:left="540" w:hanging="271"/>
      </w:pPr>
      <w:r>
        <w:rPr>
          <w:rFonts w:ascii="Calibri" w:hAnsi="Calibri"/>
          <w:b w:val="0"/>
          <w:i w:val="0"/>
          <w:color w:val="172033"/>
          <w:sz w:val="22"/>
        </w:rPr>
        <w:t>DXF or DWG ingest or export.</w:t>
      </w:r>
    </w:p>
    <w:p>
      <w:pPr>
        <w:pStyle w:val="ListBullet"/>
        <w:spacing w:after="80" w:line="300" w:lineRule="auto"/>
        <w:ind w:left="540" w:hanging="271"/>
      </w:pPr>
      <w:r>
        <w:rPr>
          <w:rFonts w:ascii="Calibri" w:hAnsi="Calibri"/>
          <w:b w:val="0"/>
          <w:i w:val="0"/>
          <w:color w:val="172033"/>
          <w:sz w:val="22"/>
        </w:rPr>
        <w:t>Deployment on Azure with Entra ID authentication.</w:t>
      </w:r>
    </w:p>
    <w:p>
      <w:pPr>
        <w:pStyle w:val="Heading1"/>
      </w:pPr>
      <w:r>
        <w:t>6. Published Scoring Rubric</w:t>
      </w:r>
    </w:p>
    <w:tbl>
      <w:tblPr>
        <w:tblStyle w:val="TableGrid"/>
        <w:tblW w:type="dxa" w:w="9360"/>
        <w:jc w:val="left"/>
        <w:tblLayout w:type="fixed"/>
        <w:tblLook w:firstColumn="1" w:firstRow="1" w:lastColumn="0" w:lastRow="0" w:noHBand="0" w:noVBand="1" w:val="04A0"/>
        <w:tblInd w:w="120" w:type="dxa"/>
      </w:tblPr>
      <w:tblGrid>
        <w:gridCol w:w="1000"/>
        <w:gridCol w:w="2700"/>
        <w:gridCol w:w="5660"/>
      </w:tblGrid>
      <w:tr>
        <w:trPr>
          <w:tblHeader w:val="true"/>
          <w:cantSplit/>
        </w:trPr>
        <w:tc>
          <w:tcPr>
            <w:tcW w:type="dxa" w:w="1000"/>
            <w:tcMar>
              <w:top w:w="80" w:type="dxa"/>
              <w:start w:w="120" w:type="dxa"/>
              <w:bottom w:w="80" w:type="dxa"/>
              <w:end w:w="120" w:type="dxa"/>
            </w:tcMar>
            <w:shd w:fill="0B1A49"/>
            <w:vAlign w:val="center"/>
          </w:tcPr>
          <w:p>
            <w:pPr>
              <w:spacing w:after="0"/>
            </w:pPr>
            <w:r>
              <w:rPr>
                <w:rFonts w:ascii="Calibri" w:hAnsi="Calibri"/>
                <w:b/>
                <w:i w:val="0"/>
                <w:color w:val="FFFFFF"/>
                <w:sz w:val="17"/>
              </w:rPr>
              <w:t>Weight</w:t>
            </w:r>
          </w:p>
        </w:tc>
        <w:tc>
          <w:tcPr>
            <w:tcW w:type="dxa" w:w="2700"/>
            <w:tcMar>
              <w:top w:w="80" w:type="dxa"/>
              <w:start w:w="120" w:type="dxa"/>
              <w:bottom w:w="80" w:type="dxa"/>
              <w:end w:w="120" w:type="dxa"/>
            </w:tcMar>
            <w:shd w:fill="0B1A49"/>
            <w:vAlign w:val="center"/>
          </w:tcPr>
          <w:p>
            <w:pPr>
              <w:spacing w:after="0"/>
            </w:pPr>
            <w:r>
              <w:rPr>
                <w:rFonts w:ascii="Calibri" w:hAnsi="Calibri"/>
                <w:b/>
                <w:i w:val="0"/>
                <w:color w:val="FFFFFF"/>
                <w:sz w:val="17"/>
              </w:rPr>
              <w:t>Criterion</w:t>
            </w:r>
          </w:p>
        </w:tc>
        <w:tc>
          <w:tcPr>
            <w:tcW w:type="dxa" w:w="5660"/>
            <w:tcMar>
              <w:top w:w="80" w:type="dxa"/>
              <w:start w:w="120" w:type="dxa"/>
              <w:bottom w:w="80" w:type="dxa"/>
              <w:end w:w="120" w:type="dxa"/>
            </w:tcMar>
            <w:shd w:fill="0B1A49"/>
            <w:vAlign w:val="center"/>
          </w:tcPr>
          <w:p>
            <w:pPr>
              <w:spacing w:after="0"/>
            </w:pPr>
            <w:r>
              <w:rPr>
                <w:rFonts w:ascii="Calibri" w:hAnsi="Calibri"/>
                <w:b/>
                <w:i w:val="0"/>
                <w:color w:val="FFFFFF"/>
                <w:sz w:val="17"/>
              </w:rPr>
              <w:t>How it is judged</w:t>
            </w:r>
          </w:p>
        </w:tc>
      </w:tr>
      <w:tr>
        <w:trPr>
          <w:cantSplit/>
        </w:trPr>
        <w:tc>
          <w:tcPr>
            <w:tcW w:type="dxa" w:w="1000"/>
            <w:vAlign w:val="top"/>
          </w:tcPr>
          <w:p>
            <w:pPr>
              <w:spacing w:after="0" w:line="269" w:lineRule="auto"/>
            </w:pPr>
            <w:r>
              <w:rPr>
                <w:rFonts w:ascii="Calibri" w:hAnsi="Calibri"/>
                <w:b w:val="0"/>
                <w:i w:val="0"/>
                <w:color w:val="172033"/>
                <w:sz w:val="17"/>
              </w:rPr>
              <w:t>35</w:t>
            </w:r>
          </w:p>
        </w:tc>
        <w:tc>
          <w:tcPr>
            <w:tcW w:type="dxa" w:w="2700"/>
            <w:vAlign w:val="top"/>
          </w:tcPr>
          <w:p>
            <w:pPr>
              <w:spacing w:after="0" w:line="269" w:lineRule="auto"/>
            </w:pPr>
            <w:r>
              <w:rPr>
                <w:rFonts w:ascii="Calibri" w:hAnsi="Calibri"/>
                <w:b w:val="0"/>
                <w:i w:val="0"/>
                <w:color w:val="172033"/>
                <w:sz w:val="17"/>
              </w:rPr>
              <w:t>Arbitration</w:t>
            </w:r>
          </w:p>
        </w:tc>
        <w:tc>
          <w:tcPr>
            <w:tcW w:type="dxa" w:w="5660"/>
            <w:vAlign w:val="top"/>
          </w:tcPr>
          <w:p>
            <w:pPr>
              <w:spacing w:after="0" w:line="269" w:lineRule="auto"/>
            </w:pPr>
            <w:r>
              <w:rPr>
                <w:rFonts w:ascii="Calibri" w:hAnsi="Calibri"/>
                <w:b w:val="0"/>
                <w:i w:val="0"/>
                <w:color w:val="172033"/>
                <w:sz w:val="17"/>
              </w:rPr>
              <w:t>Quality of the boundary, contracts, repair loop, termination and handling of unsatisfiable cases.</w:t>
            </w:r>
          </w:p>
        </w:tc>
      </w:tr>
      <w:tr>
        <w:trPr>
          <w:cantSplit/>
        </w:trPr>
        <w:tc>
          <w:tcPr>
            <w:tcW w:type="dxa" w:w="1000"/>
            <w:shd w:fill="F6F8FC"/>
            <w:vAlign w:val="top"/>
          </w:tcPr>
          <w:p>
            <w:pPr>
              <w:spacing w:after="0" w:line="269" w:lineRule="auto"/>
            </w:pPr>
            <w:r>
              <w:rPr>
                <w:rFonts w:ascii="Calibri" w:hAnsi="Calibri"/>
                <w:b w:val="0"/>
                <w:i w:val="0"/>
                <w:color w:val="172033"/>
                <w:sz w:val="17"/>
              </w:rPr>
              <w:t>25</w:t>
            </w:r>
          </w:p>
        </w:tc>
        <w:tc>
          <w:tcPr>
            <w:tcW w:type="dxa" w:w="2700"/>
            <w:shd w:fill="F6F8FC"/>
            <w:vAlign w:val="top"/>
          </w:tcPr>
          <w:p>
            <w:pPr>
              <w:spacing w:after="0" w:line="269" w:lineRule="auto"/>
            </w:pPr>
            <w:r>
              <w:rPr>
                <w:rFonts w:ascii="Calibri" w:hAnsi="Calibri"/>
                <w:b w:val="0"/>
                <w:i w:val="0"/>
                <w:color w:val="172033"/>
                <w:sz w:val="17"/>
              </w:rPr>
              <w:t>Price integrity and determinism</w:t>
            </w:r>
          </w:p>
        </w:tc>
        <w:tc>
          <w:tcPr>
            <w:tcW w:type="dxa" w:w="5660"/>
            <w:shd w:fill="F6F8FC"/>
            <w:vAlign w:val="top"/>
          </w:tcPr>
          <w:p>
            <w:pPr>
              <w:spacing w:after="0" w:line="269" w:lineRule="auto"/>
            </w:pPr>
            <w:r>
              <w:rPr>
                <w:rFonts w:ascii="Calibri" w:hAnsi="Calibri"/>
                <w:b w:val="0"/>
                <w:i w:val="0"/>
                <w:color w:val="172033"/>
                <w:sz w:val="17"/>
              </w:rPr>
              <w:t>Byte-identical repeat runs, correct pricing behaviour, line-level traceability and blocking of unpriced items.</w:t>
            </w:r>
          </w:p>
        </w:tc>
      </w:tr>
      <w:tr>
        <w:trPr>
          <w:cantSplit/>
        </w:trPr>
        <w:tc>
          <w:tcPr>
            <w:tcW w:type="dxa" w:w="1000"/>
            <w:vAlign w:val="top"/>
          </w:tcPr>
          <w:p>
            <w:pPr>
              <w:spacing w:after="0" w:line="269" w:lineRule="auto"/>
            </w:pPr>
            <w:r>
              <w:rPr>
                <w:rFonts w:ascii="Calibri" w:hAnsi="Calibri"/>
                <w:b w:val="0"/>
                <w:i w:val="0"/>
                <w:color w:val="172033"/>
                <w:sz w:val="17"/>
              </w:rPr>
              <w:t>15</w:t>
            </w:r>
          </w:p>
        </w:tc>
        <w:tc>
          <w:tcPr>
            <w:tcW w:type="dxa" w:w="2700"/>
            <w:vAlign w:val="top"/>
          </w:tcPr>
          <w:p>
            <w:pPr>
              <w:spacing w:after="0" w:line="269" w:lineRule="auto"/>
            </w:pPr>
            <w:r>
              <w:rPr>
                <w:rFonts w:ascii="Calibri" w:hAnsi="Calibri"/>
                <w:b w:val="0"/>
                <w:i w:val="0"/>
                <w:color w:val="172033"/>
                <w:sz w:val="17"/>
              </w:rPr>
              <w:t>Constraint enforcement</w:t>
            </w:r>
          </w:p>
        </w:tc>
        <w:tc>
          <w:tcPr>
            <w:tcW w:type="dxa" w:w="5660"/>
            <w:vAlign w:val="top"/>
          </w:tcPr>
          <w:p>
            <w:pPr>
              <w:spacing w:after="0" w:line="269" w:lineRule="auto"/>
            </w:pPr>
            <w:r>
              <w:rPr>
                <w:rFonts w:ascii="Calibri" w:hAnsi="Calibri"/>
                <w:b w:val="0"/>
                <w:i w:val="0"/>
                <w:color w:val="172033"/>
                <w:sz w:val="17"/>
              </w:rPr>
              <w:t>Performance against held-back specifications containing known violations.</w:t>
            </w:r>
          </w:p>
        </w:tc>
      </w:tr>
      <w:tr>
        <w:trPr>
          <w:cantSplit/>
        </w:trPr>
        <w:tc>
          <w:tcPr>
            <w:tcW w:type="dxa" w:w="1000"/>
            <w:shd w:fill="F6F8FC"/>
            <w:vAlign w:val="top"/>
          </w:tcPr>
          <w:p>
            <w:pPr>
              <w:spacing w:after="0" w:line="269" w:lineRule="auto"/>
            </w:pPr>
            <w:r>
              <w:rPr>
                <w:rFonts w:ascii="Calibri" w:hAnsi="Calibri"/>
                <w:b w:val="0"/>
                <w:i w:val="0"/>
                <w:color w:val="172033"/>
                <w:sz w:val="17"/>
              </w:rPr>
              <w:t>10</w:t>
            </w:r>
          </w:p>
        </w:tc>
        <w:tc>
          <w:tcPr>
            <w:tcW w:type="dxa" w:w="2700"/>
            <w:shd w:fill="F6F8FC"/>
            <w:vAlign w:val="top"/>
          </w:tcPr>
          <w:p>
            <w:pPr>
              <w:spacing w:after="0" w:line="269" w:lineRule="auto"/>
            </w:pPr>
            <w:r>
              <w:rPr>
                <w:rFonts w:ascii="Calibri" w:hAnsi="Calibri"/>
                <w:b w:val="0"/>
                <w:i w:val="0"/>
                <w:color w:val="172033"/>
                <w:sz w:val="17"/>
              </w:rPr>
              <w:t>Generation quality</w:t>
            </w:r>
          </w:p>
        </w:tc>
        <w:tc>
          <w:tcPr>
            <w:tcW w:type="dxa" w:w="5660"/>
            <w:shd w:fill="F6F8FC"/>
            <w:vAlign w:val="top"/>
          </w:tcPr>
          <w:p>
            <w:pPr>
              <w:spacing w:after="0" w:line="269" w:lineRule="auto"/>
            </w:pPr>
            <w:r>
              <w:rPr>
                <w:rFonts w:ascii="Calibri" w:hAnsi="Calibri"/>
                <w:b w:val="0"/>
                <w:i w:val="0"/>
                <w:color w:val="172033"/>
                <w:sz w:val="17"/>
              </w:rPr>
              <w:t>Whether the proposed result meaningfully answers the brief.</w:t>
            </w:r>
          </w:p>
        </w:tc>
      </w:tr>
      <w:tr>
        <w:trPr>
          <w:cantSplit/>
        </w:trPr>
        <w:tc>
          <w:tcPr>
            <w:tcW w:type="dxa" w:w="1000"/>
            <w:vAlign w:val="top"/>
          </w:tcPr>
          <w:p>
            <w:pPr>
              <w:spacing w:after="0" w:line="269" w:lineRule="auto"/>
            </w:pPr>
            <w:r>
              <w:rPr>
                <w:rFonts w:ascii="Calibri" w:hAnsi="Calibri"/>
                <w:b w:val="0"/>
                <w:i w:val="0"/>
                <w:color w:val="172033"/>
                <w:sz w:val="17"/>
              </w:rPr>
              <w:t>10</w:t>
            </w:r>
          </w:p>
        </w:tc>
        <w:tc>
          <w:tcPr>
            <w:tcW w:type="dxa" w:w="2700"/>
            <w:vAlign w:val="top"/>
          </w:tcPr>
          <w:p>
            <w:pPr>
              <w:spacing w:after="0" w:line="269" w:lineRule="auto"/>
            </w:pPr>
            <w:r>
              <w:rPr>
                <w:rFonts w:ascii="Calibri" w:hAnsi="Calibri"/>
                <w:b w:val="0"/>
                <w:i w:val="0"/>
                <w:color w:val="172033"/>
                <w:sz w:val="17"/>
              </w:rPr>
              <w:t>Engineering quality</w:t>
            </w:r>
          </w:p>
        </w:tc>
        <w:tc>
          <w:tcPr>
            <w:tcW w:type="dxa" w:w="5660"/>
            <w:vAlign w:val="top"/>
          </w:tcPr>
          <w:p>
            <w:pPr>
              <w:spacing w:after="0" w:line="269" w:lineRule="auto"/>
            </w:pPr>
            <w:r>
              <w:rPr>
                <w:rFonts w:ascii="Calibri" w:hAnsi="Calibri"/>
                <w:b w:val="0"/>
                <w:i w:val="0"/>
                <w:color w:val="172033"/>
                <w:sz w:val="17"/>
              </w:rPr>
              <w:t>Tests, documentation, clean-machine execution and credible commit history.</w:t>
            </w:r>
          </w:p>
        </w:tc>
      </w:tr>
      <w:tr>
        <w:trPr>
          <w:cantSplit/>
        </w:trPr>
        <w:tc>
          <w:tcPr>
            <w:tcW w:type="dxa" w:w="1000"/>
            <w:shd w:fill="F6F8FC"/>
            <w:vAlign w:val="top"/>
          </w:tcPr>
          <w:p>
            <w:pPr>
              <w:spacing w:after="0" w:line="269" w:lineRule="auto"/>
            </w:pPr>
            <w:r>
              <w:rPr>
                <w:rFonts w:ascii="Calibri" w:hAnsi="Calibri"/>
                <w:b w:val="0"/>
                <w:i w:val="0"/>
                <w:color w:val="172033"/>
                <w:sz w:val="17"/>
              </w:rPr>
              <w:t>+5</w:t>
            </w:r>
          </w:p>
        </w:tc>
        <w:tc>
          <w:tcPr>
            <w:tcW w:type="dxa" w:w="2700"/>
            <w:shd w:fill="F6F8FC"/>
            <w:vAlign w:val="top"/>
          </w:tcPr>
          <w:p>
            <w:pPr>
              <w:spacing w:after="0" w:line="269" w:lineRule="auto"/>
            </w:pPr>
            <w:r>
              <w:rPr>
                <w:rFonts w:ascii="Calibri" w:hAnsi="Calibri"/>
                <w:b w:val="0"/>
                <w:i w:val="0"/>
                <w:color w:val="172033"/>
                <w:sz w:val="17"/>
              </w:rPr>
              <w:t>DXF/DWG bonus</w:t>
            </w:r>
          </w:p>
        </w:tc>
        <w:tc>
          <w:tcPr>
            <w:tcW w:type="dxa" w:w="5660"/>
            <w:shd w:fill="F6F8FC"/>
            <w:vAlign w:val="top"/>
          </w:tcPr>
          <w:p>
            <w:pPr>
              <w:spacing w:after="0" w:line="269" w:lineRule="auto"/>
            </w:pPr>
            <w:r>
              <w:rPr>
                <w:rFonts w:ascii="Calibri" w:hAnsi="Calibri"/>
                <w:b w:val="0"/>
                <w:i w:val="0"/>
                <w:color w:val="172033"/>
                <w:sz w:val="17"/>
              </w:rPr>
              <w:t>Successful ingest or export.</w:t>
            </w:r>
          </w:p>
        </w:tc>
      </w:tr>
      <w:tr>
        <w:trPr>
          <w:cantSplit/>
        </w:trPr>
        <w:tc>
          <w:tcPr>
            <w:tcW w:type="dxa" w:w="1000"/>
            <w:vAlign w:val="top"/>
          </w:tcPr>
          <w:p>
            <w:pPr>
              <w:spacing w:after="0" w:line="269" w:lineRule="auto"/>
            </w:pPr>
            <w:r>
              <w:rPr>
                <w:rFonts w:ascii="Calibri" w:hAnsi="Calibri"/>
                <w:b w:val="0"/>
                <w:i w:val="0"/>
                <w:color w:val="172033"/>
                <w:sz w:val="17"/>
              </w:rPr>
              <w:t>+5</w:t>
            </w:r>
          </w:p>
        </w:tc>
        <w:tc>
          <w:tcPr>
            <w:tcW w:type="dxa" w:w="2700"/>
            <w:vAlign w:val="top"/>
          </w:tcPr>
          <w:p>
            <w:pPr>
              <w:spacing w:after="0" w:line="269" w:lineRule="auto"/>
            </w:pPr>
            <w:r>
              <w:rPr>
                <w:rFonts w:ascii="Calibri" w:hAnsi="Calibri"/>
                <w:b w:val="0"/>
                <w:i w:val="0"/>
                <w:color w:val="172033"/>
                <w:sz w:val="17"/>
              </w:rPr>
              <w:t>Azure bonus</w:t>
            </w:r>
          </w:p>
        </w:tc>
        <w:tc>
          <w:tcPr>
            <w:tcW w:type="dxa" w:w="5660"/>
            <w:vAlign w:val="top"/>
          </w:tcPr>
          <w:p>
            <w:pPr>
              <w:spacing w:after="0" w:line="269" w:lineRule="auto"/>
            </w:pPr>
            <w:r>
              <w:rPr>
                <w:rFonts w:ascii="Calibri" w:hAnsi="Calibri"/>
                <w:b w:val="0"/>
                <w:i w:val="0"/>
                <w:color w:val="172033"/>
                <w:sz w:val="17"/>
              </w:rPr>
              <w:t>Working Azure deployment with Entra ID authentication.</w:t>
            </w:r>
          </w:p>
        </w:tc>
      </w:tr>
    </w:tbl>
    <w:p>
      <w:pPr>
        <w:spacing w:after="0"/>
      </w:pPr>
    </w:p>
    <w:p>
      <w:r>
        <w:br w:type="page"/>
      </w:r>
    </w:p>
    <w:p>
      <w:pPr>
        <w:pStyle w:val="Heading1"/>
      </w:pPr>
      <w:r>
        <w:t>7. Live Defence and Final</w:t>
      </w:r>
    </w:p>
    <w:p>
      <w:pPr>
        <w:pStyle w:val="Heading2"/>
      </w:pPr>
      <w:r>
        <w:t>Round 2: Live Technical Defence</w:t>
      </w:r>
    </w:p>
    <w:p>
      <w:pPr>
        <w:spacing w:after="120" w:line="300" w:lineRule="auto"/>
      </w:pPr>
      <w:r>
        <w:rPr>
          <w:rFonts w:ascii="Calibri" w:hAnsi="Calibri"/>
          <w:b w:val="0"/>
          <w:i w:val="0"/>
          <w:color w:val="172033"/>
          <w:sz w:val="22"/>
        </w:rPr>
        <w:t>The top 8-10 candidates receive a 25-minute screen-share slot on 28 August. Candidates will clone and run their own repository, explain the boundary between system components, respond to a live variation and answer technical questions. This round verifies authorship and depth of understanding.</w:t>
      </w:r>
    </w:p>
    <w:p>
      <w:pPr>
        <w:pStyle w:val="Heading2"/>
      </w:pPr>
      <w:r>
        <w:t>Round 3: The Final</w:t>
      </w:r>
    </w:p>
    <w:p>
      <w:pPr>
        <w:spacing w:after="120" w:line="300" w:lineRule="auto"/>
      </w:pPr>
      <w:r>
        <w:rPr>
          <w:rFonts w:ascii="Calibri" w:hAnsi="Calibri"/>
          <w:b w:val="0"/>
          <w:i w:val="0"/>
          <w:color w:val="172033"/>
          <w:sz w:val="22"/>
        </w:rPr>
        <w:t>Four finalists continue from their Round 1 system. They receive a new change pack on 29 August at 10:00 AM IST and have 48 hours to adapt the existing architecture rather than start again.</w:t>
      </w:r>
    </w:p>
    <w:p>
      <w:pPr>
        <w:spacing w:after="120" w:line="300" w:lineRule="auto"/>
      </w:pPr>
      <w:r>
        <w:rPr>
          <w:rFonts w:ascii="Calibri" w:hAnsi="Calibri"/>
          <w:b w:val="0"/>
          <w:i w:val="0"/>
          <w:color w:val="172033"/>
          <w:sz w:val="22"/>
        </w:rPr>
        <w:t>Final deliverables will include the updated working system, a CHANGELOG.md describing exactly what changed, a revised architecture explanation, committed output and a short video focused on the specified final-round case.</w:t>
      </w:r>
    </w:p>
    <w:p>
      <w:pPr>
        <w:pStyle w:val="Heading1"/>
      </w:pPr>
      <w:r>
        <w:t>8. Prize and Internship Opportunity</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shd w:fill="0B1A49"/>
            <w:vAlign w:val="center"/>
          </w:tcPr>
          <w:p>
            <w:pPr>
              <w:spacing w:after="0"/>
            </w:pPr>
            <w:r>
              <w:rPr>
                <w:rFonts w:ascii="Calibri" w:hAnsi="Calibri"/>
                <w:b/>
                <w:i w:val="0"/>
                <w:color w:val="FFFFFF"/>
                <w:sz w:val="19"/>
              </w:rPr>
              <w:t>Outcome</w:t>
            </w:r>
          </w:p>
        </w:tc>
        <w:tc>
          <w:tcPr>
            <w:tcW w:type="dxa" w:w="7260"/>
            <w:tcMar>
              <w:top w:w="80" w:type="dxa"/>
              <w:start w:w="120" w:type="dxa"/>
              <w:bottom w:w="80" w:type="dxa"/>
              <w:end w:w="120" w:type="dxa"/>
            </w:tcMar>
            <w:shd w:fill="0B1A49"/>
            <w:vAlign w:val="center"/>
          </w:tcPr>
          <w:p>
            <w:pPr>
              <w:spacing w:after="0"/>
            </w:pPr>
            <w:r>
              <w:rPr>
                <w:rFonts w:ascii="Calibri" w:hAnsi="Calibri"/>
                <w:b/>
                <w:i w:val="0"/>
                <w:color w:val="FFFFFF"/>
                <w:sz w:val="19"/>
              </w:rPr>
              <w:t>Offer</w:t>
            </w:r>
          </w:p>
        </w:tc>
      </w:tr>
      <w:tr>
        <w:trPr>
          <w:cantSplit/>
        </w:trPr>
        <w:tc>
          <w:tcPr>
            <w:tcW w:type="dxa" w:w="2100"/>
            <w:vAlign w:val="top"/>
          </w:tcPr>
          <w:p>
            <w:pPr>
              <w:spacing w:after="0" w:line="269" w:lineRule="auto"/>
            </w:pPr>
            <w:r>
              <w:rPr>
                <w:rFonts w:ascii="Calibri" w:hAnsi="Calibri"/>
                <w:b w:val="0"/>
                <w:i w:val="0"/>
                <w:color w:val="172033"/>
                <w:sz w:val="19"/>
              </w:rPr>
              <w:t>Winner</w:t>
            </w:r>
          </w:p>
        </w:tc>
        <w:tc>
          <w:tcPr>
            <w:tcW w:type="dxa" w:w="7260"/>
            <w:vAlign w:val="top"/>
          </w:tcPr>
          <w:p>
            <w:pPr>
              <w:spacing w:after="0" w:line="269" w:lineRule="auto"/>
            </w:pPr>
            <w:r>
              <w:rPr>
                <w:rFonts w:ascii="Calibri" w:hAnsi="Calibri"/>
                <w:b w:val="0"/>
                <w:i w:val="0"/>
                <w:color w:val="172033"/>
                <w:sz w:val="19"/>
              </w:rPr>
              <w:t>₹10,000 cash prize.</w:t>
            </w:r>
          </w:p>
        </w:tc>
      </w:tr>
      <w:tr>
        <w:trPr>
          <w:cantSplit/>
        </w:trPr>
        <w:tc>
          <w:tcPr>
            <w:tcW w:type="dxa" w:w="2100"/>
            <w:shd w:fill="F6F8FC"/>
            <w:vAlign w:val="top"/>
          </w:tcPr>
          <w:p>
            <w:pPr>
              <w:spacing w:after="0" w:line="269" w:lineRule="auto"/>
            </w:pPr>
            <w:r>
              <w:rPr>
                <w:rFonts w:ascii="Calibri" w:hAnsi="Calibri"/>
                <w:b w:val="0"/>
                <w:i w:val="0"/>
                <w:color w:val="172033"/>
                <w:sz w:val="19"/>
              </w:rPr>
              <w:t>Internships</w:t>
            </w:r>
          </w:p>
        </w:tc>
        <w:tc>
          <w:tcPr>
            <w:tcW w:type="dxa" w:w="7260"/>
            <w:shd w:fill="F6F8FC"/>
            <w:vAlign w:val="top"/>
          </w:tcPr>
          <w:p>
            <w:pPr>
              <w:spacing w:after="0" w:line="269" w:lineRule="auto"/>
            </w:pPr>
            <w:r>
              <w:rPr>
                <w:rFonts w:ascii="Calibri" w:hAnsi="Calibri"/>
                <w:b w:val="0"/>
                <w:i w:val="0"/>
                <w:color w:val="172033"/>
                <w:sz w:val="19"/>
              </w:rPr>
              <w:t>Up to two finalists may receive paid internship offers at ₹50,000 per month.</w:t>
            </w:r>
          </w:p>
        </w:tc>
      </w:tr>
      <w:tr>
        <w:trPr>
          <w:cantSplit/>
        </w:trPr>
        <w:tc>
          <w:tcPr>
            <w:tcW w:type="dxa" w:w="2100"/>
            <w:vAlign w:val="top"/>
          </w:tcPr>
          <w:p>
            <w:pPr>
              <w:spacing w:after="0" w:line="269" w:lineRule="auto"/>
            </w:pPr>
            <w:r>
              <w:rPr>
                <w:rFonts w:ascii="Calibri" w:hAnsi="Calibri"/>
                <w:b w:val="0"/>
                <w:i w:val="0"/>
                <w:color w:val="172033"/>
                <w:sz w:val="19"/>
              </w:rPr>
              <w:t>Conditions</w:t>
            </w:r>
          </w:p>
        </w:tc>
        <w:tc>
          <w:tcPr>
            <w:tcW w:type="dxa" w:w="7260"/>
            <w:vAlign w:val="top"/>
          </w:tcPr>
          <w:p>
            <w:pPr>
              <w:spacing w:after="0" w:line="269" w:lineRule="auto"/>
            </w:pPr>
            <w:r>
              <w:rPr>
                <w:rFonts w:ascii="Calibri" w:hAnsi="Calibri"/>
                <w:b w:val="0"/>
                <w:i w:val="0"/>
                <w:color w:val="172033"/>
                <w:sz w:val="19"/>
              </w:rPr>
              <w:t>Internship decisions depend on final evaluation, technical defence, demonstrated authorship, availability and role fit. Ranking alone does not guarantee an offer.</w:t>
            </w:r>
          </w:p>
        </w:tc>
      </w:tr>
    </w:tbl>
    <w:p>
      <w:pPr>
        <w:spacing w:after="0"/>
      </w:pPr>
    </w:p>
    <w:p>
      <w:pPr>
        <w:pStyle w:val="Heading1"/>
      </w:pPr>
      <w:r>
        <w:t>9. Rules and Eligibility</w:t>
      </w:r>
    </w:p>
    <w:p>
      <w:pPr>
        <w:pStyle w:val="ListBullet"/>
        <w:spacing w:after="80" w:line="300" w:lineRule="auto"/>
        <w:ind w:left="540" w:hanging="271"/>
      </w:pPr>
      <w:r>
        <w:rPr>
          <w:rFonts w:ascii="Calibri" w:hAnsi="Calibri"/>
          <w:b w:val="0"/>
          <w:i w:val="0"/>
          <w:color w:val="172033"/>
          <w:sz w:val="22"/>
        </w:rPr>
        <w:t>Participation is individual only. Teams and joint submissions are not permitted.</w:t>
      </w:r>
    </w:p>
    <w:p>
      <w:pPr>
        <w:pStyle w:val="ListBullet"/>
        <w:spacing w:after="80" w:line="300" w:lineRule="auto"/>
        <w:ind w:left="540" w:hanging="271"/>
      </w:pPr>
      <w:r>
        <w:rPr>
          <w:rFonts w:ascii="Calibri" w:hAnsi="Calibri"/>
          <w:b w:val="0"/>
          <w:i w:val="0"/>
          <w:color w:val="172033"/>
          <w:sz w:val="22"/>
        </w:rPr>
        <w:t>Registration closes on 24 August 2026 at 11:59 PM IST. No late entry.</w:t>
      </w:r>
    </w:p>
    <w:p>
      <w:pPr>
        <w:pStyle w:val="ListBullet"/>
        <w:spacing w:after="80" w:line="300" w:lineRule="auto"/>
        <w:ind w:left="540" w:hanging="271"/>
      </w:pPr>
      <w:r>
        <w:rPr>
          <w:rFonts w:ascii="Calibri" w:hAnsi="Calibri"/>
          <w:b w:val="0"/>
          <w:i w:val="0"/>
          <w:color w:val="172033"/>
          <w:sz w:val="22"/>
        </w:rPr>
        <w:t>All challenge work must begin after the Round 1 reveal at 25 August 2026, 10:00 AM IST.</w:t>
      </w:r>
    </w:p>
    <w:p>
      <w:pPr>
        <w:pStyle w:val="ListBullet"/>
        <w:spacing w:after="80" w:line="300" w:lineRule="auto"/>
        <w:ind w:left="540" w:hanging="271"/>
      </w:pPr>
      <w:r>
        <w:rPr>
          <w:rFonts w:ascii="Calibri" w:hAnsi="Calibri"/>
          <w:b w:val="0"/>
          <w:i w:val="0"/>
          <w:color w:val="172033"/>
          <w:sz w:val="22"/>
        </w:rPr>
        <w:t>Substantial work committed before the reveal timestamp may result in disqualification.</w:t>
      </w:r>
    </w:p>
    <w:p>
      <w:pPr>
        <w:pStyle w:val="ListBullet"/>
        <w:spacing w:after="80" w:line="300" w:lineRule="auto"/>
        <w:ind w:left="540" w:hanging="271"/>
      </w:pPr>
      <w:r>
        <w:rPr>
          <w:rFonts w:ascii="Calibri" w:hAnsi="Calibri"/>
          <w:b w:val="0"/>
          <w:i w:val="0"/>
          <w:color w:val="172033"/>
          <w:sz w:val="22"/>
        </w:rPr>
        <w:t>The submission must be original and the participant must have the right to use every included dependency, asset and dataset.</w:t>
      </w:r>
    </w:p>
    <w:p>
      <w:pPr>
        <w:pStyle w:val="ListBullet"/>
        <w:spacing w:after="80" w:line="300" w:lineRule="auto"/>
        <w:ind w:left="540" w:hanging="271"/>
      </w:pPr>
      <w:r>
        <w:rPr>
          <w:rFonts w:ascii="Calibri" w:hAnsi="Calibri"/>
          <w:b w:val="0"/>
          <w:i w:val="0"/>
          <w:color w:val="172033"/>
          <w:sz w:val="22"/>
        </w:rPr>
        <w:t>AI assistants may be used, but candidates remain responsible for the entire submission and must be able to explain and modify it live.</w:t>
      </w:r>
    </w:p>
    <w:p>
      <w:pPr>
        <w:pStyle w:val="ListBullet"/>
        <w:spacing w:after="80" w:line="300" w:lineRule="auto"/>
        <w:ind w:left="540" w:hanging="271"/>
      </w:pPr>
      <w:r>
        <w:rPr>
          <w:rFonts w:ascii="Calibri" w:hAnsi="Calibri"/>
          <w:b w:val="0"/>
          <w:i w:val="0"/>
          <w:color w:val="172033"/>
          <w:sz w:val="22"/>
        </w:rPr>
        <w:t>The repository, documentation, video and links must remain accessible throughout judging.</w:t>
      </w:r>
    </w:p>
    <w:p>
      <w:pPr>
        <w:pStyle w:val="ListBullet"/>
        <w:spacing w:after="80" w:line="300" w:lineRule="auto"/>
        <w:ind w:left="540" w:hanging="271"/>
      </w:pPr>
      <w:r>
        <w:rPr>
          <w:rFonts w:ascii="Calibri" w:hAnsi="Calibri"/>
          <w:b w:val="0"/>
          <w:i w:val="0"/>
          <w:color w:val="172033"/>
          <w:sz w:val="22"/>
        </w:rPr>
        <w:t>Any attempt to obtain the sealed brief early or share restricted files with another participant or third party may result in disqualification.</w:t>
      </w:r>
    </w:p>
    <w:p>
      <w:pPr>
        <w:pStyle w:val="ListBullet"/>
        <w:spacing w:after="80" w:line="300" w:lineRule="auto"/>
        <w:ind w:left="540" w:hanging="271"/>
      </w:pPr>
      <w:r>
        <w:rPr>
          <w:rFonts w:ascii="Calibri" w:hAnsi="Calibri"/>
          <w:b w:val="0"/>
          <w:i w:val="0"/>
          <w:color w:val="172033"/>
          <w:sz w:val="22"/>
        </w:rPr>
        <w:t>Judging decisions are final after eligibility and originality verification.</w:t>
      </w:r>
    </w:p>
    <w:p>
      <w:pPr>
        <w:pStyle w:val="Heading1"/>
      </w:pPr>
      <w:r>
        <w:t>10. Intellectual Property and Use of Submissions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4F1"/>
          </w:tcPr>
          <w:p>
            <w:pPr>
              <w:spacing w:after="40"/>
            </w:pPr>
            <w:r>
              <w:rPr>
                <w:rFonts w:ascii="Calibri" w:hAnsi="Calibri"/>
                <w:b/>
                <w:i w:val="0"/>
                <w:color w:val="9B1C1C"/>
                <w:sz w:val="18"/>
              </w:rPr>
              <w:t>IMPORTANT</w:t>
            </w:r>
          </w:p>
          <w:p>
            <w:pPr>
              <w:spacing w:after="0" w:line="283" w:lineRule="auto"/>
            </w:pPr>
            <w:r>
              <w:rPr>
                <w:rFonts w:ascii="Calibri" w:hAnsi="Calibri"/>
                <w:b w:val="0"/>
                <w:i w:val="0"/>
                <w:color w:val="172033"/>
                <w:sz w:val="21"/>
              </w:rPr>
              <w:t>Read this section before registering. Participation confirms acceptance of the applicable terms shown on the official Unstop listing.</w:t>
            </w:r>
          </w:p>
        </w:tc>
      </w:tr>
    </w:tbl>
    <w:p>
      <w:pPr>
        <w:spacing w:after="0"/>
      </w:pPr>
    </w:p>
    <w:p>
      <w:pPr>
        <w:pStyle w:val="ListBullet"/>
        <w:spacing w:after="80" w:line="300" w:lineRule="auto"/>
        <w:ind w:left="540" w:hanging="271"/>
      </w:pPr>
      <w:r>
        <w:rPr>
          <w:rFonts w:ascii="Calibri" w:hAnsi="Calibri"/>
          <w:b w:val="0"/>
          <w:i w:val="0"/>
          <w:color w:val="172033"/>
          <w:sz w:val="22"/>
        </w:rPr>
        <w:t>Prize-winning submissions assign all rights to LV8 Tech when the winner accepts the prize.</w:t>
      </w:r>
    </w:p>
    <w:p>
      <w:pPr>
        <w:pStyle w:val="ListBullet"/>
        <w:spacing w:after="80" w:line="300" w:lineRule="auto"/>
        <w:ind w:left="540" w:hanging="271"/>
      </w:pPr>
      <w:r>
        <w:rPr>
          <w:rFonts w:ascii="Calibri" w:hAnsi="Calibri"/>
          <w:b w:val="0"/>
          <w:i w:val="0"/>
          <w:color w:val="172033"/>
          <w:sz w:val="22"/>
        </w:rPr>
        <w:t>All submissions grant LV8 Tech a perpetual, irrevocable, royalty-free licence to the concepts and architecture contained in the submission.</w:t>
      </w:r>
    </w:p>
    <w:p>
      <w:pPr>
        <w:pStyle w:val="ListBullet"/>
        <w:spacing w:after="80" w:line="300" w:lineRule="auto"/>
        <w:ind w:left="540" w:hanging="271"/>
      </w:pPr>
      <w:r>
        <w:rPr>
          <w:rFonts w:ascii="Calibri" w:hAnsi="Calibri"/>
          <w:b w:val="0"/>
          <w:i w:val="0"/>
          <w:color w:val="172033"/>
          <w:sz w:val="22"/>
        </w:rPr>
        <w:t>Participants warrant that their submissions are original or properly licensed and do not infringe third-party rights.</w:t>
      </w:r>
    </w:p>
    <w:p>
      <w:pPr>
        <w:pStyle w:val="ListBullet"/>
        <w:spacing w:after="80" w:line="300" w:lineRule="auto"/>
        <w:ind w:left="540" w:hanging="271"/>
      </w:pPr>
      <w:r>
        <w:rPr>
          <w:rFonts w:ascii="Calibri" w:hAnsi="Calibri"/>
          <w:b w:val="0"/>
          <w:i w:val="0"/>
          <w:color w:val="172033"/>
          <w:sz w:val="22"/>
        </w:rPr>
        <w:t>Candidate names and submitted demo material may be used to administer and communicate the hackathon, subject to the official platform terms.</w:t>
      </w:r>
    </w:p>
    <w:p>
      <w:pPr>
        <w:spacing w:after="120" w:line="300" w:lineRule="auto"/>
      </w:pPr>
      <w:r>
        <w:rPr>
          <w:rFonts w:ascii="Calibri" w:hAnsi="Calibri"/>
          <w:b w:val="0"/>
          <w:i w:val="0"/>
          <w:color w:val="172033"/>
          <w:sz w:val="22"/>
        </w:rPr>
        <w:t>If you do not agree to these terms, do not register or submit. Any separate internship engagement will be governed by its own written agreement.</w:t>
      </w:r>
    </w:p>
    <w:p>
      <w:pPr>
        <w:pStyle w:val="Heading1"/>
      </w:pPr>
      <w:r>
        <w:t>11. Submission and Conduct Standards</w:t>
      </w:r>
    </w:p>
    <w:p>
      <w:pPr>
        <w:pStyle w:val="ListBullet"/>
        <w:spacing w:after="80" w:line="300" w:lineRule="auto"/>
        <w:ind w:left="540" w:hanging="271"/>
      </w:pPr>
      <w:r>
        <w:rPr>
          <w:rFonts w:ascii="Calibri" w:hAnsi="Calibri"/>
          <w:b w:val="0"/>
          <w:i w:val="0"/>
          <w:color w:val="172033"/>
          <w:sz w:val="22"/>
        </w:rPr>
        <w:t>Use only the released synthetic packs. Do not introduce confidential employer, client or personal data.</w:t>
      </w:r>
    </w:p>
    <w:p>
      <w:pPr>
        <w:pStyle w:val="ListBullet"/>
        <w:spacing w:after="80" w:line="300" w:lineRule="auto"/>
        <w:ind w:left="540" w:hanging="271"/>
      </w:pPr>
      <w:r>
        <w:rPr>
          <w:rFonts w:ascii="Calibri" w:hAnsi="Calibri"/>
          <w:b w:val="0"/>
          <w:i w:val="0"/>
          <w:color w:val="172033"/>
          <w:sz w:val="22"/>
        </w:rPr>
        <w:t>Do not privately request architectural help from organizers. Clarifications will be answered in the common participant channel so everyone receives the same information.</w:t>
      </w:r>
    </w:p>
    <w:p>
      <w:pPr>
        <w:pStyle w:val="ListBullet"/>
        <w:spacing w:after="80" w:line="300" w:lineRule="auto"/>
        <w:ind w:left="540" w:hanging="271"/>
      </w:pPr>
      <w:r>
        <w:rPr>
          <w:rFonts w:ascii="Calibri" w:hAnsi="Calibri"/>
          <w:b w:val="0"/>
          <w:i w:val="0"/>
          <w:color w:val="172033"/>
          <w:sz w:val="22"/>
        </w:rPr>
        <w:t>Report suspected starter-kit or schema defects through the official support channel.</w:t>
      </w:r>
    </w:p>
    <w:p>
      <w:pPr>
        <w:pStyle w:val="ListBullet"/>
        <w:spacing w:after="80" w:line="300" w:lineRule="auto"/>
        <w:ind w:left="540" w:hanging="271"/>
      </w:pPr>
      <w:r>
        <w:rPr>
          <w:rFonts w:ascii="Calibri" w:hAnsi="Calibri"/>
          <w:b w:val="0"/>
          <w:i w:val="0"/>
          <w:color w:val="172033"/>
          <w:sz w:val="22"/>
        </w:rPr>
        <w:t>Keep a clear commit history that reflects the work completed during each round.</w:t>
      </w:r>
    </w:p>
    <w:p>
      <w:pPr>
        <w:pStyle w:val="Heading1"/>
      </w:pPr>
      <w:r>
        <w:t>12. Frequently Asked Questions</w:t>
      </w:r>
    </w:p>
    <w:p>
      <w:pPr>
        <w:keepNext/>
        <w:spacing w:before="80" w:after="40"/>
      </w:pPr>
      <w:r>
        <w:rPr>
          <w:rFonts w:ascii="Calibri" w:hAnsi="Calibri"/>
          <w:b/>
          <w:i w:val="0"/>
          <w:color w:val="0B1A49"/>
          <w:sz w:val="22"/>
        </w:rPr>
        <w:t>Will the problem be available before registration closes?</w:t>
      </w:r>
    </w:p>
    <w:p>
      <w:pPr>
        <w:spacing w:after="100" w:line="300" w:lineRule="auto"/>
      </w:pPr>
      <w:r>
        <w:rPr>
          <w:rFonts w:ascii="Calibri" w:hAnsi="Calibri"/>
          <w:b w:val="0"/>
          <w:i w:val="0"/>
          <w:color w:val="172033"/>
          <w:sz w:val="22"/>
        </w:rPr>
        <w:t>No. The exact problem and files are released to registered participants on 25 August at 10:00 AM IST.</w:t>
      </w:r>
    </w:p>
    <w:p>
      <w:pPr>
        <w:keepNext/>
        <w:spacing w:before="80" w:after="40"/>
      </w:pPr>
      <w:r>
        <w:rPr>
          <w:rFonts w:ascii="Calibri" w:hAnsi="Calibri"/>
          <w:b/>
          <w:i w:val="0"/>
          <w:color w:val="0B1A49"/>
          <w:sz w:val="22"/>
        </w:rPr>
        <w:t>Does everyone enter Round 1?</w:t>
      </w:r>
    </w:p>
    <w:p>
      <w:pPr>
        <w:spacing w:after="100" w:line="300" w:lineRule="auto"/>
      </w:pPr>
      <w:r>
        <w:rPr>
          <w:rFonts w:ascii="Calibri" w:hAnsi="Calibri"/>
          <w:b w:val="0"/>
          <w:i w:val="0"/>
          <w:color w:val="172033"/>
          <w:sz w:val="22"/>
        </w:rPr>
        <w:t>Yes. Every valid registrant enters Round 1; there is no preliminary qualifier.</w:t>
      </w:r>
    </w:p>
    <w:p>
      <w:pPr>
        <w:keepNext/>
        <w:spacing w:before="80" w:after="40"/>
      </w:pPr>
      <w:r>
        <w:rPr>
          <w:rFonts w:ascii="Calibri" w:hAnsi="Calibri"/>
          <w:b/>
          <w:i w:val="0"/>
          <w:color w:val="0B1A49"/>
          <w:sz w:val="22"/>
        </w:rPr>
        <w:t>Can I participate in a team?</w:t>
      </w:r>
    </w:p>
    <w:p>
      <w:pPr>
        <w:spacing w:after="100" w:line="300" w:lineRule="auto"/>
      </w:pPr>
      <w:r>
        <w:rPr>
          <w:rFonts w:ascii="Calibri" w:hAnsi="Calibri"/>
          <w:b w:val="0"/>
          <w:i w:val="0"/>
          <w:color w:val="172033"/>
          <w:sz w:val="22"/>
        </w:rPr>
        <w:t>No. RuleBound is an individual-participation challenge; teams and joint submissions are not permitted.</w:t>
      </w:r>
    </w:p>
    <w:p>
      <w:pPr>
        <w:keepNext/>
        <w:spacing w:before="80" w:after="40"/>
      </w:pPr>
      <w:r>
        <w:rPr>
          <w:rFonts w:ascii="Calibri" w:hAnsi="Calibri"/>
          <w:b/>
          <w:i w:val="0"/>
          <w:color w:val="0B1A49"/>
          <w:sz w:val="22"/>
        </w:rPr>
        <w:t>Which language or framework should I use?</w:t>
      </w:r>
    </w:p>
    <w:p>
      <w:pPr>
        <w:spacing w:after="100" w:line="300" w:lineRule="auto"/>
      </w:pPr>
      <w:r>
        <w:rPr>
          <w:rFonts w:ascii="Calibri" w:hAnsi="Calibri"/>
          <w:b w:val="0"/>
          <w:i w:val="0"/>
          <w:color w:val="172033"/>
          <w:sz w:val="22"/>
        </w:rPr>
        <w:t>Use any stack that satisfies the published one-command interface and judging environment. Python and TypeScript loaders will be provided.</w:t>
      </w:r>
    </w:p>
    <w:p>
      <w:pPr>
        <w:keepNext/>
        <w:spacing w:before="80" w:after="40"/>
      </w:pPr>
      <w:r>
        <w:rPr>
          <w:rFonts w:ascii="Calibri" w:hAnsi="Calibri"/>
          <w:b/>
          <w:i w:val="0"/>
          <w:color w:val="0B1A49"/>
          <w:sz w:val="22"/>
        </w:rPr>
        <w:t>Does UI quality matter?</w:t>
      </w:r>
    </w:p>
    <w:p>
      <w:pPr>
        <w:spacing w:after="100" w:line="300" w:lineRule="auto"/>
      </w:pPr>
      <w:r>
        <w:rPr>
          <w:rFonts w:ascii="Calibri" w:hAnsi="Calibri"/>
          <w:b w:val="0"/>
          <w:i w:val="0"/>
          <w:color w:val="172033"/>
          <w:sz w:val="22"/>
        </w:rPr>
        <w:t>No. UI polish receives zero points. Architecture, determinism, constraints and engineering quality matter.</w:t>
      </w:r>
    </w:p>
    <w:p>
      <w:pPr>
        <w:keepNext/>
        <w:spacing w:before="80" w:after="40"/>
      </w:pPr>
      <w:r>
        <w:rPr>
          <w:rFonts w:ascii="Calibri" w:hAnsi="Calibri"/>
          <w:b/>
          <w:i w:val="0"/>
          <w:color w:val="0B1A49"/>
          <w:sz w:val="22"/>
        </w:rPr>
        <w:t>Can I use AI coding assistants?</w:t>
      </w:r>
    </w:p>
    <w:p>
      <w:pPr>
        <w:spacing w:after="100" w:line="300" w:lineRule="auto"/>
      </w:pPr>
      <w:r>
        <w:rPr>
          <w:rFonts w:ascii="Calibri" w:hAnsi="Calibri"/>
          <w:b w:val="0"/>
          <w:i w:val="0"/>
          <w:color w:val="172033"/>
          <w:sz w:val="22"/>
        </w:rPr>
        <w:t>Yes, but you must understand, defend and modify the submission live. You remain responsible for originality and compliance.</w:t>
      </w:r>
    </w:p>
    <w:p>
      <w:pPr>
        <w:keepNext/>
        <w:spacing w:before="80" w:after="40"/>
      </w:pPr>
      <w:r>
        <w:rPr>
          <w:rFonts w:ascii="Calibri" w:hAnsi="Calibri"/>
          <w:b/>
          <w:i w:val="0"/>
          <w:color w:val="0B1A49"/>
          <w:sz w:val="22"/>
        </w:rPr>
        <w:t>Is the internship guaranteed to the top two?</w:t>
      </w:r>
    </w:p>
    <w:p>
      <w:pPr>
        <w:spacing w:after="100" w:line="300" w:lineRule="auto"/>
      </w:pPr>
      <w:r>
        <w:rPr>
          <w:rFonts w:ascii="Calibri" w:hAnsi="Calibri"/>
          <w:b w:val="0"/>
          <w:i w:val="0"/>
          <w:color w:val="172033"/>
          <w:sz w:val="22"/>
        </w:rPr>
        <w:t>No. Up to two paid internships at ₹50,000/month may be offered based on final evaluation and role fit.</w:t>
      </w:r>
    </w:p>
    <w:p>
      <w:pPr>
        <w:keepNext/>
        <w:spacing w:before="80" w:after="40"/>
      </w:pPr>
      <w:r>
        <w:rPr>
          <w:rFonts w:ascii="Calibri" w:hAnsi="Calibri"/>
          <w:b/>
          <w:i w:val="0"/>
          <w:color w:val="0B1A49"/>
          <w:sz w:val="22"/>
        </w:rPr>
        <w:t>When will the winner be announced?</w:t>
      </w:r>
    </w:p>
    <w:p>
      <w:pPr>
        <w:spacing w:after="100" w:line="300" w:lineRule="auto"/>
      </w:pPr>
      <w:r>
        <w:rPr>
          <w:rFonts w:ascii="Calibri" w:hAnsi="Calibri"/>
          <w:b w:val="0"/>
          <w:i w:val="0"/>
          <w:color w:val="172033"/>
          <w:sz w:val="22"/>
        </w:rPr>
        <w:t>1 September 2026.</w:t>
      </w:r>
    </w:p>
    <w:p>
      <w:pPr>
        <w:keepNext/>
        <w:spacing w:before="80" w:after="40"/>
      </w:pPr>
      <w:r>
        <w:rPr>
          <w:rFonts w:ascii="Calibri" w:hAnsi="Calibri"/>
          <w:b/>
          <w:i w:val="0"/>
          <w:color w:val="0B1A49"/>
          <w:sz w:val="22"/>
        </w:rPr>
        <w:t>How will clarifications be handled?</w:t>
      </w:r>
    </w:p>
    <w:p>
      <w:pPr>
        <w:spacing w:after="100" w:line="300" w:lineRule="auto"/>
      </w:pPr>
      <w:r>
        <w:rPr>
          <w:rFonts w:ascii="Calibri" w:hAnsi="Calibri"/>
          <w:b w:val="0"/>
          <w:i w:val="0"/>
          <w:color w:val="172033"/>
          <w:sz w:val="22"/>
        </w:rPr>
        <w:t>All material clarifications will be posted to the common participant channel. Private architectural coaching will not be provided.</w:t>
      </w:r>
    </w:p>
    <w:p>
      <w:pPr>
        <w:pStyle w:val="Heading1"/>
      </w:pPr>
      <w:r>
        <w:t>13. Registration Checklist</w:t>
      </w:r>
    </w:p>
    <w:p>
      <w:pPr>
        <w:pStyle w:val="ListBullet"/>
        <w:spacing w:after="80" w:line="300" w:lineRule="auto"/>
        <w:ind w:left="540" w:hanging="271"/>
      </w:pPr>
      <w:r>
        <w:rPr>
          <w:rFonts w:ascii="Calibri" w:hAnsi="Calibri"/>
          <w:b w:val="0"/>
          <w:i w:val="0"/>
          <w:color w:val="172033"/>
          <w:sz w:val="22"/>
        </w:rPr>
        <w:t>Review the complete schedule and confirm your availability.</w:t>
      </w:r>
    </w:p>
    <w:p>
      <w:pPr>
        <w:pStyle w:val="ListBullet"/>
        <w:spacing w:after="80" w:line="300" w:lineRule="auto"/>
        <w:ind w:left="540" w:hanging="271"/>
      </w:pPr>
      <w:r>
        <w:rPr>
          <w:rFonts w:ascii="Calibri" w:hAnsi="Calibri"/>
          <w:b w:val="0"/>
          <w:i w:val="0"/>
          <w:color w:val="172033"/>
          <w:sz w:val="22"/>
        </w:rPr>
        <w:t>Confirm that you will participate and submit individually.</w:t>
      </w:r>
    </w:p>
    <w:p>
      <w:pPr>
        <w:pStyle w:val="ListBullet"/>
        <w:spacing w:after="80" w:line="300" w:lineRule="auto"/>
        <w:ind w:left="540" w:hanging="271"/>
      </w:pPr>
      <w:r>
        <w:rPr>
          <w:rFonts w:ascii="Calibri" w:hAnsi="Calibri"/>
          <w:b w:val="0"/>
          <w:i w:val="0"/>
          <w:color w:val="172033"/>
          <w:sz w:val="22"/>
        </w:rPr>
        <w:t>Prepare your resume, portfolio, GitHub profile and best systems project.</w:t>
      </w:r>
    </w:p>
    <w:p>
      <w:pPr>
        <w:pStyle w:val="ListBullet"/>
        <w:spacing w:after="80" w:line="300" w:lineRule="auto"/>
        <w:ind w:left="540" w:hanging="271"/>
      </w:pPr>
      <w:r>
        <w:rPr>
          <w:rFonts w:ascii="Calibri" w:hAnsi="Calibri"/>
          <w:b w:val="0"/>
          <w:i w:val="0"/>
          <w:color w:val="172033"/>
          <w:sz w:val="22"/>
        </w:rPr>
        <w:t>Register before 24 August 2026, 11:59 PM IST.</w:t>
      </w:r>
    </w:p>
    <w:p>
      <w:pPr>
        <w:pStyle w:val="ListBullet"/>
        <w:spacing w:after="80" w:line="300" w:lineRule="auto"/>
        <w:ind w:left="540" w:hanging="271"/>
      </w:pPr>
      <w:r>
        <w:rPr>
          <w:rFonts w:ascii="Calibri" w:hAnsi="Calibri"/>
          <w:b w:val="0"/>
          <w:i w:val="0"/>
          <w:color w:val="172033"/>
          <w:sz w:val="22"/>
        </w:rPr>
        <w:t>Join and monitor the official participant communication channel.</w:t>
      </w:r>
    </w:p>
    <w:p>
      <w:pPr>
        <w:pStyle w:val="ListBullet"/>
        <w:spacing w:after="80" w:line="300" w:lineRule="auto"/>
        <w:ind w:left="540" w:hanging="271"/>
      </w:pPr>
      <w:r>
        <w:rPr>
          <w:rFonts w:ascii="Calibri" w:hAnsi="Calibri"/>
          <w:b w:val="0"/>
          <w:i w:val="0"/>
          <w:color w:val="172033"/>
          <w:sz w:val="22"/>
        </w:rPr>
        <w:t>Keep 25-27 August available for the complete 48-hour Round 1 window.</w:t>
      </w:r>
    </w:p>
    <w:p>
      <w:pPr>
        <w:pStyle w:val="ListBullet"/>
        <w:spacing w:after="80" w:line="300" w:lineRule="auto"/>
        <w:ind w:left="540" w:hanging="271"/>
      </w:pPr>
      <w:r>
        <w:rPr>
          <w:rFonts w:ascii="Calibri" w:hAnsi="Calibri"/>
          <w:b w:val="0"/>
          <w:i w:val="0"/>
          <w:color w:val="172033"/>
          <w:sz w:val="22"/>
        </w:rPr>
        <w:t>Confirm that you can share a repository and a five-minute video.</w:t>
      </w:r>
    </w:p>
    <w:p>
      <w:pPr>
        <w:pStyle w:val="ListBullet"/>
        <w:spacing w:after="80" w:line="300" w:lineRule="auto"/>
        <w:ind w:left="540" w:hanging="271"/>
      </w:pPr>
      <w:r>
        <w:rPr>
          <w:rFonts w:ascii="Calibri" w:hAnsi="Calibri"/>
          <w:b w:val="0"/>
          <w:i w:val="0"/>
          <w:color w:val="172033"/>
          <w:sz w:val="22"/>
        </w:rPr>
        <w:t>Read and accept the intellectual-property terms before submitting.</w:t>
      </w:r>
    </w:p>
    <w:p>
      <w:pPr>
        <w:pStyle w:val="Heading1"/>
      </w:pPr>
      <w:r>
        <w:t>14. Official Contact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80" w:type="dxa"/>
              <w:start w:w="120" w:type="dxa"/>
              <w:bottom w:w="80" w:type="dxa"/>
              <w:end w:w="120" w:type="dxa"/>
            </w:tcMar>
            <w:shd w:fill="0B1A49"/>
            <w:vAlign w:val="center"/>
          </w:tcPr>
          <w:p>
            <w:pPr>
              <w:spacing w:after="0"/>
            </w:pPr>
            <w:r>
              <w:rPr>
                <w:rFonts w:ascii="Calibri" w:hAnsi="Calibri"/>
                <w:b/>
                <w:i w:val="0"/>
                <w:color w:val="FFFFFF"/>
                <w:sz w:val="19"/>
              </w:rPr>
              <w:t>Channel</w:t>
            </w:r>
          </w:p>
        </w:tc>
        <w:tc>
          <w:tcPr>
            <w:tcW w:type="dxa" w:w="6960"/>
            <w:tcMar>
              <w:top w:w="80" w:type="dxa"/>
              <w:start w:w="120" w:type="dxa"/>
              <w:bottom w:w="80" w:type="dxa"/>
              <w:end w:w="120" w:type="dxa"/>
            </w:tcMar>
            <w:shd w:fill="0B1A49"/>
            <w:vAlign w:val="center"/>
          </w:tcPr>
          <w:p>
            <w:pPr>
              <w:spacing w:after="0"/>
            </w:pPr>
            <w:r>
              <w:rPr>
                <w:rFonts w:ascii="Calibri" w:hAnsi="Calibri"/>
                <w:b/>
                <w:i w:val="0"/>
                <w:color w:val="FFFFFF"/>
                <w:sz w:val="19"/>
              </w:rPr>
              <w:t>Information</w:t>
            </w:r>
          </w:p>
        </w:tc>
      </w:tr>
      <w:tr>
        <w:trPr>
          <w:cantSplit/>
        </w:trPr>
        <w:tc>
          <w:tcPr>
            <w:tcW w:type="dxa" w:w="2400"/>
            <w:vAlign w:val="top"/>
          </w:tcPr>
          <w:p>
            <w:pPr>
              <w:spacing w:after="0" w:line="269" w:lineRule="auto"/>
            </w:pPr>
            <w:r>
              <w:rPr>
                <w:rFonts w:ascii="Calibri" w:hAnsi="Calibri"/>
                <w:b w:val="0"/>
                <w:i w:val="0"/>
                <w:color w:val="172033"/>
                <w:sz w:val="19"/>
              </w:rPr>
              <w:t>Organizer</w:t>
            </w:r>
          </w:p>
        </w:tc>
        <w:tc>
          <w:tcPr>
            <w:tcW w:type="dxa" w:w="6960"/>
            <w:vAlign w:val="top"/>
          </w:tcPr>
          <w:p>
            <w:pPr>
              <w:spacing w:after="0" w:line="269" w:lineRule="auto"/>
            </w:pPr>
            <w:r>
              <w:rPr>
                <w:rFonts w:ascii="Calibri" w:hAnsi="Calibri"/>
                <w:b w:val="0"/>
                <w:i w:val="0"/>
                <w:color w:val="172033"/>
                <w:sz w:val="19"/>
              </w:rPr>
              <w:t>LV8 Tech</w:t>
            </w:r>
          </w:p>
        </w:tc>
      </w:tr>
      <w:tr>
        <w:trPr>
          <w:cantSplit/>
        </w:trPr>
        <w:tc>
          <w:tcPr>
            <w:tcW w:type="dxa" w:w="2400"/>
            <w:shd w:fill="F6F8FC"/>
            <w:vAlign w:val="top"/>
          </w:tcPr>
          <w:p>
            <w:pPr>
              <w:spacing w:after="0" w:line="269" w:lineRule="auto"/>
            </w:pPr>
            <w:r>
              <w:rPr>
                <w:rFonts w:ascii="Calibri" w:hAnsi="Calibri"/>
                <w:b w:val="0"/>
                <w:i w:val="0"/>
                <w:color w:val="172033"/>
                <w:sz w:val="19"/>
              </w:rPr>
              <w:t>Platform</w:t>
            </w:r>
          </w:p>
        </w:tc>
        <w:tc>
          <w:tcPr>
            <w:tcW w:type="dxa" w:w="6960"/>
            <w:shd w:fill="F6F8FC"/>
            <w:vAlign w:val="top"/>
          </w:tcPr>
          <w:p>
            <w:pPr>
              <w:spacing w:after="0" w:line="269" w:lineRule="auto"/>
            </w:pPr>
            <w:r>
              <w:rPr>
                <w:rFonts w:ascii="Calibri" w:hAnsi="Calibri"/>
                <w:b w:val="0"/>
                <w:i w:val="0"/>
                <w:color w:val="172033"/>
                <w:sz w:val="19"/>
              </w:rPr>
              <w:t>Unstop</w:t>
            </w:r>
          </w:p>
        </w:tc>
      </w:tr>
      <w:tr>
        <w:trPr>
          <w:cantSplit/>
        </w:trPr>
        <w:tc>
          <w:tcPr>
            <w:tcW w:type="dxa" w:w="2400"/>
            <w:vAlign w:val="top"/>
          </w:tcPr>
          <w:p>
            <w:pPr>
              <w:spacing w:after="0" w:line="269" w:lineRule="auto"/>
            </w:pPr>
            <w:r>
              <w:rPr>
                <w:rFonts w:ascii="Calibri" w:hAnsi="Calibri"/>
                <w:b w:val="0"/>
                <w:i w:val="0"/>
                <w:color w:val="172033"/>
                <w:sz w:val="19"/>
              </w:rPr>
              <w:t>Support email</w:t>
            </w:r>
          </w:p>
        </w:tc>
        <w:tc>
          <w:tcPr>
            <w:tcW w:type="dxa" w:w="6960"/>
            <w:vAlign w:val="top"/>
          </w:tcPr>
          <w:p>
            <w:pPr>
              <w:spacing w:after="0" w:line="269" w:lineRule="auto"/>
            </w:pPr>
            <w:r>
              <w:rPr>
                <w:rFonts w:ascii="Calibri" w:hAnsi="Calibri"/>
                <w:b w:val="0"/>
                <w:i w:val="0"/>
                <w:color w:val="172033"/>
                <w:sz w:val="19"/>
              </w:rPr>
              <w:t>lv8tech@gmail.com</w:t>
            </w:r>
          </w:p>
        </w:tc>
      </w:tr>
      <w:tr>
        <w:trPr>
          <w:cantSplit/>
        </w:trPr>
        <w:tc>
          <w:tcPr>
            <w:tcW w:type="dxa" w:w="2400"/>
            <w:shd w:fill="F6F8FC"/>
            <w:vAlign w:val="top"/>
          </w:tcPr>
          <w:p>
            <w:pPr>
              <w:spacing w:after="0" w:line="269" w:lineRule="auto"/>
            </w:pPr>
            <w:r>
              <w:rPr>
                <w:rFonts w:ascii="Calibri" w:hAnsi="Calibri"/>
                <w:b w:val="0"/>
                <w:i w:val="0"/>
                <w:color w:val="172033"/>
                <w:sz w:val="19"/>
              </w:rPr>
              <w:t>Registration link</w:t>
            </w:r>
          </w:p>
        </w:tc>
        <w:tc>
          <w:tcPr>
            <w:tcW w:type="dxa" w:w="6960"/>
            <w:shd w:fill="F6F8FC"/>
            <w:vAlign w:val="top"/>
          </w:tcPr>
          <w:p>
            <w:pPr>
              <w:spacing w:after="0" w:line="269" w:lineRule="auto"/>
            </w:pPr>
            <w:r>
              <w:rPr>
                <w:rFonts w:ascii="Calibri" w:hAnsi="Calibri"/>
                <w:b w:val="0"/>
                <w:i w:val="0"/>
                <w:color w:val="172033"/>
                <w:sz w:val="19"/>
              </w:rPr>
              <w:t>Published on the official Unstop opportunity page</w:t>
            </w:r>
          </w:p>
        </w:tc>
      </w:tr>
      <w:tr>
        <w:trPr>
          <w:cantSplit/>
        </w:trPr>
        <w:tc>
          <w:tcPr>
            <w:tcW w:type="dxa" w:w="2400"/>
            <w:vAlign w:val="top"/>
          </w:tcPr>
          <w:p>
            <w:pPr>
              <w:spacing w:after="0" w:line="269" w:lineRule="auto"/>
            </w:pPr>
            <w:r>
              <w:rPr>
                <w:rFonts w:ascii="Calibri" w:hAnsi="Calibri"/>
                <w:b w:val="0"/>
                <w:i w:val="0"/>
                <w:color w:val="172033"/>
                <w:sz w:val="19"/>
              </w:rPr>
              <w:t>Timezone</w:t>
            </w:r>
          </w:p>
        </w:tc>
        <w:tc>
          <w:tcPr>
            <w:tcW w:type="dxa" w:w="6960"/>
            <w:vAlign w:val="top"/>
          </w:tcPr>
          <w:p>
            <w:pPr>
              <w:spacing w:after="0" w:line="269" w:lineRule="auto"/>
            </w:pPr>
            <w:r>
              <w:rPr>
                <w:rFonts w:ascii="Calibri" w:hAnsi="Calibri"/>
                <w:b w:val="0"/>
                <w:i w:val="0"/>
                <w:color w:val="172033"/>
                <w:sz w:val="19"/>
              </w:rPr>
              <w:t>All dates and deadlines use Indian Standard Time (IST)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i w:val="0"/>
        <w:color w:val="5B687C"/>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0B1A49"/>
        <w:sz w:val="17"/>
      </w:rPr>
      <w:t>LV8 TECH  /  RULEBOUND</w:t>
    </w:r>
    <w:r>
      <w:rPr>
        <w:rFonts w:ascii="Calibri" w:hAnsi="Calibri"/>
        <w:b w:val="0"/>
        <w:i w:val="0"/>
        <w:color w:val="5B687C"/>
        <w:sz w:val="17"/>
      </w:rPr>
      <w:t xml:space="preserve">    OFFICIAL CANDIDATE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C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5C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1A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RuleBound: The Sealed Build Challenge - Candidate Guide</dc:title>
  <dc:subject>Public candidate documentation for the LV8 Tech RuleBound hackathon</dc:subject>
  <dc:creator>LV8 Tech</dc:creator>
  <cp:keywords>RuleBound, LV8 Tech, AI systems, hackathon, rules engine, deterministic pricing</cp:keywords>
  <dc:description>Candidate-facing edition, 18 August 2026</dc:description>
  <cp:lastModifiedBy/>
  <cp:revision>1</cp:revision>
  <dcterms:created xsi:type="dcterms:W3CDTF">2013-12-23T23:15:00Z</dcterms:created>
  <dcterms:modified xsi:type="dcterms:W3CDTF">2013-12-23T23:15:00Z</dcterms:modified>
  <cp:category/>
</cp:coreProperties>
</file>