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975B4" w14:textId="502DD8B3" w:rsidR="00C501B0" w:rsidRPr="00C501B0" w:rsidRDefault="00CD298E" w:rsidP="00722D2D">
      <w:pPr>
        <w:pStyle w:val="Title"/>
      </w:pPr>
      <w:r>
        <w:t>Pricing Strategy</w:t>
      </w:r>
    </w:p>
    <w:p w14:paraId="60A54192" w14:textId="77777777" w:rsidR="00C501B0" w:rsidRPr="00C501B0" w:rsidRDefault="00C501B0" w:rsidP="00722D2D">
      <w:pPr>
        <w:pStyle w:val="Heading1"/>
      </w:pPr>
      <w:r w:rsidRPr="00C501B0">
        <w:t>1. Executive Summary</w:t>
      </w:r>
    </w:p>
    <w:p w14:paraId="3ED16D4F" w14:textId="77777777" w:rsidR="00C501B0" w:rsidRPr="00C501B0" w:rsidRDefault="00C501B0" w:rsidP="00C501B0">
      <w:r w:rsidRPr="00C501B0">
        <w:t>This document outlines the findings from a pricing optimization analysis aimed at improving profitability. Our analysis reveals that by understanding how different customer segments react to price, we can adjust our strategy dynamically.</w:t>
      </w:r>
    </w:p>
    <w:p w14:paraId="035B3F6D" w14:textId="77777777" w:rsidR="00C501B0" w:rsidRPr="00C501B0" w:rsidRDefault="00C501B0" w:rsidP="00C501B0">
      <w:r w:rsidRPr="00C501B0">
        <w:t xml:space="preserve">The key finding is that by implementing a segment-specific pricing framework, we can achieve a </w:t>
      </w:r>
      <w:r w:rsidRPr="00C501B0">
        <w:rPr>
          <w:b/>
          <w:bCs/>
        </w:rPr>
        <w:t>potential profit increase of approximately 8.9%</w:t>
      </w:r>
      <w:r w:rsidRPr="00C501B0">
        <w:t>. This strategy involves targeted price decreases for price-sensitive segments to drive volume and modest price increases for less sensitive segments to improve margins. We recommend a phased rollout of this strategy, starting with A/B testing on the highest-impact product segments.</w:t>
      </w:r>
    </w:p>
    <w:p w14:paraId="5E9CF643" w14:textId="77777777" w:rsidR="00C501B0" w:rsidRPr="00C501B0" w:rsidRDefault="00C501B0" w:rsidP="00722D2D">
      <w:pPr>
        <w:pStyle w:val="Heading1"/>
      </w:pPr>
      <w:r w:rsidRPr="00C501B0">
        <w:t>2. Data Preprocessing and Feature Engineering</w:t>
      </w:r>
    </w:p>
    <w:p w14:paraId="46A054FC" w14:textId="4ED463BC" w:rsidR="00C501B0" w:rsidRPr="00C501B0" w:rsidRDefault="00C501B0" w:rsidP="00C501B0">
      <w:r w:rsidRPr="00C501B0">
        <w:t>To build a reliable model, we began by cleaning the raw sales data</w:t>
      </w:r>
      <w:r w:rsidR="00CD298E">
        <w:t xml:space="preserve"> from Amazon of Apr’22 to Jul’22</w:t>
      </w:r>
      <w:r w:rsidRPr="00C501B0">
        <w:t xml:space="preserve"> (~120k records). This involved standard procedures like handling missing values, removing duplicate entries, and ensuring data consistency.</w:t>
      </w:r>
    </w:p>
    <w:p w14:paraId="0FE92FED" w14:textId="77777777" w:rsidR="00C501B0" w:rsidRPr="00C501B0" w:rsidRDefault="00C501B0" w:rsidP="00C501B0">
      <w:r w:rsidRPr="00C501B0">
        <w:t>The most critical step was moving beyond broad product categories. We engineered two key features to create more granular customer segments:</w:t>
      </w:r>
    </w:p>
    <w:p w14:paraId="7FE04B8B" w14:textId="77777777" w:rsidR="00C501B0" w:rsidRPr="00C501B0" w:rsidRDefault="00C501B0" w:rsidP="00C501B0">
      <w:pPr>
        <w:numPr>
          <w:ilvl w:val="0"/>
          <w:numId w:val="1"/>
        </w:numPr>
      </w:pPr>
      <w:r w:rsidRPr="00C501B0">
        <w:rPr>
          <w:b/>
          <w:bCs/>
        </w:rPr>
        <w:t>Category Type:</w:t>
      </w:r>
      <w:r w:rsidRPr="00C501B0">
        <w:t xml:space="preserve"> Grouping similar products into logical types (e.g., 'Dress', 'Set', 'Kurta').</w:t>
      </w:r>
    </w:p>
    <w:p w14:paraId="5ABF1964" w14:textId="58D91F3B" w:rsidR="00C501B0" w:rsidRPr="00C501B0" w:rsidRDefault="00C501B0" w:rsidP="00C501B0">
      <w:pPr>
        <w:numPr>
          <w:ilvl w:val="0"/>
          <w:numId w:val="1"/>
        </w:numPr>
      </w:pPr>
      <w:r w:rsidRPr="00C501B0">
        <w:rPr>
          <w:b/>
          <w:bCs/>
        </w:rPr>
        <w:t>Price Segment:</w:t>
      </w:r>
      <w:r w:rsidRPr="00C501B0">
        <w:t xml:space="preserve"> Classifying each SKU into 'Premium', 'Average', or 'Economy' tiers based on its historical price points.</w:t>
      </w:r>
    </w:p>
    <w:p w14:paraId="703E01F1" w14:textId="14E6D2E4" w:rsidR="00C501B0" w:rsidRDefault="00C501B0" w:rsidP="00C501B0">
      <w:r w:rsidRPr="00C501B0">
        <w:t xml:space="preserve">These features allowed us to </w:t>
      </w:r>
      <w:r w:rsidR="00CD298E" w:rsidRPr="00C501B0">
        <w:t>analyse</w:t>
      </w:r>
      <w:r w:rsidRPr="00C501B0">
        <w:t xml:space="preserve"> customer </w:t>
      </w:r>
      <w:r w:rsidR="00CD298E" w:rsidRPr="00C501B0">
        <w:t>behaviour</w:t>
      </w:r>
      <w:r w:rsidRPr="00C501B0">
        <w:t xml:space="preserve"> with a much higher degree of precision.</w:t>
      </w:r>
    </w:p>
    <w:p w14:paraId="67F876E3" w14:textId="0A69D1BD" w:rsidR="00840205" w:rsidRPr="0067691A" w:rsidRDefault="00840205" w:rsidP="00C501B0">
      <w:pPr>
        <w:rPr>
          <w:i/>
          <w:iCs/>
        </w:rPr>
      </w:pPr>
      <w:r w:rsidRPr="0067691A">
        <w:rPr>
          <w:i/>
          <w:iCs/>
        </w:rPr>
        <w:t xml:space="preserve">NOTE: Since the cost price is not </w:t>
      </w:r>
      <w:r w:rsidR="00550EF8" w:rsidRPr="0067691A">
        <w:rPr>
          <w:i/>
          <w:iCs/>
        </w:rPr>
        <w:t>available,</w:t>
      </w:r>
      <w:r w:rsidRPr="0067691A">
        <w:rPr>
          <w:i/>
          <w:iCs/>
        </w:rPr>
        <w:t xml:space="preserve"> we have used an assumed cost price for each Style</w:t>
      </w:r>
      <w:r w:rsidR="005B69C7" w:rsidRPr="0067691A">
        <w:rPr>
          <w:i/>
          <w:iCs/>
        </w:rPr>
        <w:t>:</w:t>
      </w:r>
      <w:r w:rsidRPr="0067691A">
        <w:rPr>
          <w:i/>
          <w:iCs/>
        </w:rPr>
        <w:t xml:space="preserve"> </w:t>
      </w:r>
      <w:r w:rsidRPr="0067691A">
        <w:rPr>
          <w:i/>
          <w:iCs/>
        </w:rPr>
        <w:t>Assumed Cost = Historical Average Price * 0.60</w:t>
      </w:r>
    </w:p>
    <w:p w14:paraId="15DD7AFB" w14:textId="77777777" w:rsidR="00C501B0" w:rsidRPr="00C501B0" w:rsidRDefault="00C501B0" w:rsidP="00722D2D">
      <w:pPr>
        <w:pStyle w:val="Heading1"/>
      </w:pPr>
      <w:r w:rsidRPr="00C501B0">
        <w:t>3. Demand Curve Estimation &amp; Segmentation Analysis</w:t>
      </w:r>
    </w:p>
    <w:p w14:paraId="6CC3AF8B" w14:textId="77777777" w:rsidR="00C501B0" w:rsidRPr="00C501B0" w:rsidRDefault="00C501B0" w:rsidP="00C501B0">
      <w:r w:rsidRPr="00C501B0">
        <w:t>We discovered that customer price sensitivity (elasticity) is not uniform across our products; it varies significantly depending on the product type and price segment.</w:t>
      </w:r>
    </w:p>
    <w:p w14:paraId="2A3268D3" w14:textId="77777777" w:rsidR="00C501B0" w:rsidRPr="00C501B0" w:rsidRDefault="00C501B0" w:rsidP="00C501B0">
      <w:r w:rsidRPr="00C501B0">
        <w:t>To quantify this, we fit a log-log linear regression model for each segment. This model estimates the Price Elasticity of Demand, telling us the percentage change in quantity sold for every 1% change in price.</w:t>
      </w:r>
    </w:p>
    <w:p w14:paraId="6AEC2DE8" w14:textId="77777777" w:rsidR="00C501B0" w:rsidRPr="00C501B0" w:rsidRDefault="00C501B0" w:rsidP="00722D2D">
      <w:pPr>
        <w:pStyle w:val="Heading2"/>
      </w:pPr>
      <w:r w:rsidRPr="00C501B0">
        <w:t>Key Insights from Segmentation:</w:t>
      </w:r>
    </w:p>
    <w:p w14:paraId="01AA1386" w14:textId="77777777" w:rsidR="00C501B0" w:rsidRPr="00C501B0" w:rsidRDefault="00C501B0" w:rsidP="00C501B0">
      <w:pPr>
        <w:numPr>
          <w:ilvl w:val="0"/>
          <w:numId w:val="2"/>
        </w:numPr>
      </w:pPr>
      <w:r w:rsidRPr="00C501B0">
        <w:rPr>
          <w:b/>
          <w:bCs/>
        </w:rPr>
        <w:t>Highly Elastic Segments:</w:t>
      </w:r>
      <w:r w:rsidRPr="00C501B0">
        <w:t xml:space="preserve"> Customers in segments like Dress - Premium (Elasticity: -4.01) and Set - Economy (Elasticity: -1.52) are very sensitive to price. For these groups, a calculated price </w:t>
      </w:r>
      <w:r w:rsidRPr="00C501B0">
        <w:rPr>
          <w:i/>
          <w:iCs/>
        </w:rPr>
        <w:t>decrease</w:t>
      </w:r>
      <w:r w:rsidRPr="00C501B0">
        <w:t xml:space="preserve"> can lead to a disproportionately large increase in sales volume, maximizing overall profit.</w:t>
      </w:r>
    </w:p>
    <w:p w14:paraId="74BBA111" w14:textId="77777777" w:rsidR="00C501B0" w:rsidRDefault="00C501B0" w:rsidP="00C501B0">
      <w:pPr>
        <w:numPr>
          <w:ilvl w:val="0"/>
          <w:numId w:val="2"/>
        </w:numPr>
      </w:pPr>
      <w:r w:rsidRPr="00C501B0">
        <w:rPr>
          <w:b/>
          <w:bCs/>
        </w:rPr>
        <w:t>Inelastic Segments:</w:t>
      </w:r>
      <w:r w:rsidRPr="00C501B0">
        <w:t xml:space="preserve"> Customers in segments like Set - Average (Elasticity: -0.75) are far less sensitive to price. This group, which represents nearly 25% of our total revenue, presents an opportunity for modest price </w:t>
      </w:r>
      <w:r w:rsidRPr="00C501B0">
        <w:rPr>
          <w:i/>
          <w:iCs/>
        </w:rPr>
        <w:t>increases</w:t>
      </w:r>
      <w:r w:rsidRPr="00C501B0">
        <w:t xml:space="preserve"> to improve profit margins without significantly impacting sales.</w:t>
      </w:r>
    </w:p>
    <w:p w14:paraId="429D6673" w14:textId="3E15B877" w:rsidR="00CD298E" w:rsidRDefault="00CD298E" w:rsidP="00C501B0">
      <w:pPr>
        <w:numPr>
          <w:ilvl w:val="0"/>
          <w:numId w:val="2"/>
        </w:numPr>
      </w:pPr>
      <w:r w:rsidRPr="00CD298E">
        <w:rPr>
          <w:b/>
          <w:bCs/>
        </w:rPr>
        <w:t>No Clear Elasticity Trend</w:t>
      </w:r>
      <w:r>
        <w:t xml:space="preserve">: </w:t>
      </w:r>
      <w:r w:rsidRPr="00CD298E">
        <w:t>Do not apply price changes to segments with insignificant p-values</w:t>
      </w:r>
      <w:r>
        <w:t>/anomalous elasticities</w:t>
      </w:r>
      <w:r w:rsidRPr="00CD298E">
        <w:t>. These are "no-decision" zones for now.</w:t>
      </w:r>
      <w:r>
        <w:t xml:space="preserve"> Further analysis or more complex models are required to propose pricing changes.</w:t>
      </w:r>
    </w:p>
    <w:tbl>
      <w:tblPr>
        <w:tblW w:w="14340" w:type="dxa"/>
        <w:tblLook w:val="04A0" w:firstRow="1" w:lastRow="0" w:firstColumn="1" w:lastColumn="0" w:noHBand="0" w:noVBand="1"/>
      </w:tblPr>
      <w:tblGrid>
        <w:gridCol w:w="1440"/>
        <w:gridCol w:w="1440"/>
        <w:gridCol w:w="1440"/>
        <w:gridCol w:w="1440"/>
        <w:gridCol w:w="8580"/>
      </w:tblGrid>
      <w:tr w:rsidR="00CD298E" w:rsidRPr="00CD298E" w14:paraId="6DAC6868" w14:textId="77777777" w:rsidTr="00CD298E">
        <w:trPr>
          <w:trHeight w:val="515"/>
        </w:trPr>
        <w:tc>
          <w:tcPr>
            <w:tcW w:w="1440" w:type="dxa"/>
            <w:tcBorders>
              <w:top w:val="single" w:sz="4" w:space="0" w:color="auto"/>
              <w:left w:val="single" w:sz="4" w:space="0" w:color="auto"/>
              <w:bottom w:val="single" w:sz="4" w:space="0" w:color="auto"/>
              <w:right w:val="single" w:sz="4" w:space="0" w:color="auto"/>
            </w:tcBorders>
            <w:shd w:val="clear" w:color="70AD47" w:fill="70AD47"/>
            <w:vAlign w:val="center"/>
            <w:hideMark/>
          </w:tcPr>
          <w:p w14:paraId="3A661866" w14:textId="77777777" w:rsidR="00CD298E" w:rsidRPr="00CD298E" w:rsidRDefault="00CD298E" w:rsidP="00CD298E">
            <w:pPr>
              <w:spacing w:after="0" w:line="240" w:lineRule="auto"/>
              <w:jc w:val="center"/>
              <w:rPr>
                <w:rFonts w:ascii="Calibri" w:eastAsia="Times New Roman" w:hAnsi="Calibri" w:cs="Calibri"/>
                <w:b/>
                <w:bCs/>
                <w:color w:val="FFFFFF"/>
                <w:kern w:val="0"/>
                <w:sz w:val="20"/>
                <w:szCs w:val="20"/>
                <w:lang w:eastAsia="en-IN"/>
                <w14:ligatures w14:val="none"/>
              </w:rPr>
            </w:pPr>
            <w:r w:rsidRPr="00CD298E">
              <w:rPr>
                <w:rFonts w:ascii="Calibri" w:eastAsia="Times New Roman" w:hAnsi="Calibri" w:cs="Calibri"/>
                <w:b/>
                <w:bCs/>
                <w:color w:val="FFFFFF"/>
                <w:kern w:val="0"/>
                <w:sz w:val="20"/>
                <w:szCs w:val="20"/>
                <w:lang w:eastAsia="en-IN"/>
                <w14:ligatures w14:val="none"/>
              </w:rPr>
              <w:t>Category Type</w:t>
            </w:r>
          </w:p>
        </w:tc>
        <w:tc>
          <w:tcPr>
            <w:tcW w:w="1440" w:type="dxa"/>
            <w:tcBorders>
              <w:top w:val="single" w:sz="4" w:space="0" w:color="auto"/>
              <w:left w:val="nil"/>
              <w:bottom w:val="single" w:sz="4" w:space="0" w:color="auto"/>
              <w:right w:val="single" w:sz="4" w:space="0" w:color="auto"/>
            </w:tcBorders>
            <w:shd w:val="clear" w:color="70AD47" w:fill="70AD47"/>
            <w:vAlign w:val="center"/>
            <w:hideMark/>
          </w:tcPr>
          <w:p w14:paraId="79C2E468" w14:textId="77777777" w:rsidR="00CD298E" w:rsidRPr="00CD298E" w:rsidRDefault="00CD298E" w:rsidP="00CD298E">
            <w:pPr>
              <w:spacing w:after="0" w:line="240" w:lineRule="auto"/>
              <w:jc w:val="center"/>
              <w:rPr>
                <w:rFonts w:ascii="Calibri" w:eastAsia="Times New Roman" w:hAnsi="Calibri" w:cs="Calibri"/>
                <w:b/>
                <w:bCs/>
                <w:color w:val="FFFFFF"/>
                <w:kern w:val="0"/>
                <w:sz w:val="20"/>
                <w:szCs w:val="20"/>
                <w:lang w:eastAsia="en-IN"/>
                <w14:ligatures w14:val="none"/>
              </w:rPr>
            </w:pPr>
            <w:r w:rsidRPr="00CD298E">
              <w:rPr>
                <w:rFonts w:ascii="Calibri" w:eastAsia="Times New Roman" w:hAnsi="Calibri" w:cs="Calibri"/>
                <w:b/>
                <w:bCs/>
                <w:color w:val="FFFFFF"/>
                <w:kern w:val="0"/>
                <w:sz w:val="20"/>
                <w:szCs w:val="20"/>
                <w:lang w:eastAsia="en-IN"/>
                <w14:ligatures w14:val="none"/>
              </w:rPr>
              <w:t>Price Segment</w:t>
            </w:r>
          </w:p>
        </w:tc>
        <w:tc>
          <w:tcPr>
            <w:tcW w:w="1440" w:type="dxa"/>
            <w:tcBorders>
              <w:top w:val="single" w:sz="4" w:space="0" w:color="auto"/>
              <w:left w:val="nil"/>
              <w:bottom w:val="single" w:sz="4" w:space="0" w:color="auto"/>
              <w:right w:val="single" w:sz="4" w:space="0" w:color="auto"/>
            </w:tcBorders>
            <w:shd w:val="clear" w:color="70AD47" w:fill="70AD47"/>
            <w:vAlign w:val="center"/>
            <w:hideMark/>
          </w:tcPr>
          <w:p w14:paraId="44C16470" w14:textId="77777777" w:rsidR="00CD298E" w:rsidRPr="00CD298E" w:rsidRDefault="00CD298E" w:rsidP="00CD298E">
            <w:pPr>
              <w:spacing w:after="0" w:line="240" w:lineRule="auto"/>
              <w:jc w:val="center"/>
              <w:rPr>
                <w:rFonts w:ascii="Calibri" w:eastAsia="Times New Roman" w:hAnsi="Calibri" w:cs="Calibri"/>
                <w:b/>
                <w:bCs/>
                <w:color w:val="FFFFFF"/>
                <w:kern w:val="0"/>
                <w:sz w:val="20"/>
                <w:szCs w:val="20"/>
                <w:lang w:eastAsia="en-IN"/>
                <w14:ligatures w14:val="none"/>
              </w:rPr>
            </w:pPr>
            <w:r w:rsidRPr="00CD298E">
              <w:rPr>
                <w:rFonts w:ascii="Calibri" w:eastAsia="Times New Roman" w:hAnsi="Calibri" w:cs="Calibri"/>
                <w:b/>
                <w:bCs/>
                <w:color w:val="FFFFFF"/>
                <w:kern w:val="0"/>
                <w:sz w:val="20"/>
                <w:szCs w:val="20"/>
                <w:lang w:eastAsia="en-IN"/>
                <w14:ligatures w14:val="none"/>
              </w:rPr>
              <w:t>Elasticity Segment</w:t>
            </w:r>
          </w:p>
        </w:tc>
        <w:tc>
          <w:tcPr>
            <w:tcW w:w="1440" w:type="dxa"/>
            <w:tcBorders>
              <w:top w:val="single" w:sz="4" w:space="0" w:color="auto"/>
              <w:left w:val="nil"/>
              <w:bottom w:val="single" w:sz="4" w:space="0" w:color="auto"/>
              <w:right w:val="single" w:sz="4" w:space="0" w:color="auto"/>
            </w:tcBorders>
            <w:shd w:val="clear" w:color="70AD47" w:fill="70AD47"/>
            <w:vAlign w:val="center"/>
            <w:hideMark/>
          </w:tcPr>
          <w:p w14:paraId="4A3703DD" w14:textId="77777777" w:rsidR="00CD298E" w:rsidRPr="00CD298E" w:rsidRDefault="00CD298E" w:rsidP="00CD298E">
            <w:pPr>
              <w:spacing w:after="0" w:line="240" w:lineRule="auto"/>
              <w:jc w:val="center"/>
              <w:rPr>
                <w:rFonts w:ascii="Calibri" w:eastAsia="Times New Roman" w:hAnsi="Calibri" w:cs="Calibri"/>
                <w:b/>
                <w:bCs/>
                <w:color w:val="FFFFFF"/>
                <w:kern w:val="0"/>
                <w:sz w:val="20"/>
                <w:szCs w:val="20"/>
                <w:lang w:eastAsia="en-IN"/>
                <w14:ligatures w14:val="none"/>
              </w:rPr>
            </w:pPr>
            <w:r w:rsidRPr="00CD298E">
              <w:rPr>
                <w:rFonts w:ascii="Calibri" w:eastAsia="Times New Roman" w:hAnsi="Calibri" w:cs="Calibri"/>
                <w:b/>
                <w:bCs/>
                <w:color w:val="FFFFFF"/>
                <w:kern w:val="0"/>
                <w:sz w:val="20"/>
                <w:szCs w:val="20"/>
                <w:lang w:eastAsia="en-IN"/>
                <w14:ligatures w14:val="none"/>
              </w:rPr>
              <w:t>Elasticity</w:t>
            </w:r>
          </w:p>
        </w:tc>
        <w:tc>
          <w:tcPr>
            <w:tcW w:w="8580" w:type="dxa"/>
            <w:tcBorders>
              <w:top w:val="single" w:sz="4" w:space="0" w:color="auto"/>
              <w:left w:val="nil"/>
              <w:bottom w:val="single" w:sz="4" w:space="0" w:color="auto"/>
              <w:right w:val="single" w:sz="4" w:space="0" w:color="auto"/>
            </w:tcBorders>
            <w:shd w:val="clear" w:color="70AD47" w:fill="70AD47"/>
            <w:vAlign w:val="center"/>
            <w:hideMark/>
          </w:tcPr>
          <w:p w14:paraId="3B9C13B2" w14:textId="77777777" w:rsidR="00CD298E" w:rsidRPr="00CD298E" w:rsidRDefault="00CD298E" w:rsidP="00CD298E">
            <w:pPr>
              <w:spacing w:after="0" w:line="240" w:lineRule="auto"/>
              <w:jc w:val="center"/>
              <w:rPr>
                <w:rFonts w:ascii="Calibri" w:eastAsia="Times New Roman" w:hAnsi="Calibri" w:cs="Calibri"/>
                <w:b/>
                <w:bCs/>
                <w:color w:val="FFFFFF"/>
                <w:kern w:val="0"/>
                <w:sz w:val="20"/>
                <w:szCs w:val="20"/>
                <w:lang w:eastAsia="en-IN"/>
                <w14:ligatures w14:val="none"/>
              </w:rPr>
            </w:pPr>
            <w:r w:rsidRPr="00CD298E">
              <w:rPr>
                <w:rFonts w:ascii="Calibri" w:eastAsia="Times New Roman" w:hAnsi="Calibri" w:cs="Calibri"/>
                <w:b/>
                <w:bCs/>
                <w:color w:val="FFFFFF"/>
                <w:kern w:val="0"/>
                <w:sz w:val="20"/>
                <w:szCs w:val="20"/>
                <w:lang w:eastAsia="en-IN"/>
                <w14:ligatures w14:val="none"/>
              </w:rPr>
              <w:t>Key Insight</w:t>
            </w:r>
          </w:p>
        </w:tc>
      </w:tr>
      <w:tr w:rsidR="00CD298E" w:rsidRPr="00CD298E" w14:paraId="06662E15"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0A2E4855"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Set</w:t>
            </w:r>
          </w:p>
        </w:tc>
        <w:tc>
          <w:tcPr>
            <w:tcW w:w="1440" w:type="dxa"/>
            <w:tcBorders>
              <w:top w:val="nil"/>
              <w:left w:val="nil"/>
              <w:bottom w:val="single" w:sz="4" w:space="0" w:color="auto"/>
              <w:right w:val="single" w:sz="4" w:space="0" w:color="auto"/>
            </w:tcBorders>
            <w:vAlign w:val="center"/>
            <w:hideMark/>
          </w:tcPr>
          <w:p w14:paraId="2C99A3BF"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Average</w:t>
            </w:r>
          </w:p>
        </w:tc>
        <w:tc>
          <w:tcPr>
            <w:tcW w:w="1440" w:type="dxa"/>
            <w:tcBorders>
              <w:top w:val="nil"/>
              <w:left w:val="nil"/>
              <w:bottom w:val="single" w:sz="4" w:space="0" w:color="auto"/>
              <w:right w:val="single" w:sz="4" w:space="0" w:color="auto"/>
            </w:tcBorders>
            <w:shd w:val="clear" w:color="000000" w:fill="FCE4D6"/>
            <w:vAlign w:val="center"/>
            <w:hideMark/>
          </w:tcPr>
          <w:p w14:paraId="1D2B9913"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Inelastic</w:t>
            </w:r>
          </w:p>
        </w:tc>
        <w:tc>
          <w:tcPr>
            <w:tcW w:w="1440" w:type="dxa"/>
            <w:tcBorders>
              <w:top w:val="nil"/>
              <w:left w:val="nil"/>
              <w:bottom w:val="single" w:sz="4" w:space="0" w:color="auto"/>
              <w:right w:val="single" w:sz="4" w:space="0" w:color="auto"/>
            </w:tcBorders>
            <w:shd w:val="clear" w:color="000000" w:fill="FCE4D6"/>
            <w:vAlign w:val="center"/>
            <w:hideMark/>
          </w:tcPr>
          <w:p w14:paraId="2C9C3AB5"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-75.5%</w:t>
            </w:r>
          </w:p>
        </w:tc>
        <w:tc>
          <w:tcPr>
            <w:tcW w:w="8580" w:type="dxa"/>
            <w:tcBorders>
              <w:top w:val="nil"/>
              <w:left w:val="nil"/>
              <w:bottom w:val="single" w:sz="4" w:space="0" w:color="auto"/>
              <w:right w:val="single" w:sz="4" w:space="0" w:color="auto"/>
            </w:tcBorders>
            <w:noWrap/>
            <w:vAlign w:val="bottom"/>
            <w:hideMark/>
          </w:tcPr>
          <w:p w14:paraId="0084EC34"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This is a very large segment and it's inelastic. A major finding for profit growth.</w:t>
            </w:r>
          </w:p>
        </w:tc>
      </w:tr>
      <w:tr w:rsidR="00CD298E" w:rsidRPr="00CD298E" w14:paraId="6E0294C1"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19028F09"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Set</w:t>
            </w:r>
          </w:p>
        </w:tc>
        <w:tc>
          <w:tcPr>
            <w:tcW w:w="1440" w:type="dxa"/>
            <w:tcBorders>
              <w:top w:val="nil"/>
              <w:left w:val="nil"/>
              <w:bottom w:val="single" w:sz="4" w:space="0" w:color="auto"/>
              <w:right w:val="single" w:sz="4" w:space="0" w:color="auto"/>
            </w:tcBorders>
            <w:vAlign w:val="center"/>
            <w:hideMark/>
          </w:tcPr>
          <w:p w14:paraId="1235FC1C"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Economy</w:t>
            </w:r>
          </w:p>
        </w:tc>
        <w:tc>
          <w:tcPr>
            <w:tcW w:w="1440" w:type="dxa"/>
            <w:tcBorders>
              <w:top w:val="nil"/>
              <w:left w:val="nil"/>
              <w:bottom w:val="single" w:sz="4" w:space="0" w:color="auto"/>
              <w:right w:val="single" w:sz="4" w:space="0" w:color="auto"/>
            </w:tcBorders>
            <w:shd w:val="clear" w:color="000000" w:fill="92D050"/>
            <w:vAlign w:val="center"/>
            <w:hideMark/>
          </w:tcPr>
          <w:p w14:paraId="3C157C58"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Elastic</w:t>
            </w:r>
          </w:p>
        </w:tc>
        <w:tc>
          <w:tcPr>
            <w:tcW w:w="1440" w:type="dxa"/>
            <w:tcBorders>
              <w:top w:val="nil"/>
              <w:left w:val="nil"/>
              <w:bottom w:val="single" w:sz="4" w:space="0" w:color="auto"/>
              <w:right w:val="single" w:sz="4" w:space="0" w:color="auto"/>
            </w:tcBorders>
            <w:shd w:val="clear" w:color="000000" w:fill="92D050"/>
            <w:vAlign w:val="center"/>
            <w:hideMark/>
          </w:tcPr>
          <w:p w14:paraId="1F501485"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-152.9%</w:t>
            </w:r>
          </w:p>
        </w:tc>
        <w:tc>
          <w:tcPr>
            <w:tcW w:w="8580" w:type="dxa"/>
            <w:tcBorders>
              <w:top w:val="nil"/>
              <w:left w:val="nil"/>
              <w:bottom w:val="single" w:sz="4" w:space="0" w:color="auto"/>
              <w:right w:val="single" w:sz="4" w:space="0" w:color="auto"/>
            </w:tcBorders>
            <w:noWrap/>
            <w:vAlign w:val="bottom"/>
            <w:hideMark/>
          </w:tcPr>
          <w:p w14:paraId="5E2FE21F"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Economy sets follow the expected pattern of high price sensitivity.</w:t>
            </w:r>
          </w:p>
        </w:tc>
      </w:tr>
      <w:tr w:rsidR="00CD298E" w:rsidRPr="00CD298E" w14:paraId="6993E307"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7411939D"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Kurta</w:t>
            </w:r>
          </w:p>
        </w:tc>
        <w:tc>
          <w:tcPr>
            <w:tcW w:w="1440" w:type="dxa"/>
            <w:tcBorders>
              <w:top w:val="nil"/>
              <w:left w:val="nil"/>
              <w:bottom w:val="single" w:sz="4" w:space="0" w:color="auto"/>
              <w:right w:val="single" w:sz="4" w:space="0" w:color="auto"/>
            </w:tcBorders>
            <w:vAlign w:val="center"/>
            <w:hideMark/>
          </w:tcPr>
          <w:p w14:paraId="6158F6A1"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Average</w:t>
            </w:r>
          </w:p>
        </w:tc>
        <w:tc>
          <w:tcPr>
            <w:tcW w:w="1440" w:type="dxa"/>
            <w:tcBorders>
              <w:top w:val="nil"/>
              <w:left w:val="nil"/>
              <w:bottom w:val="single" w:sz="4" w:space="0" w:color="auto"/>
              <w:right w:val="single" w:sz="4" w:space="0" w:color="auto"/>
            </w:tcBorders>
            <w:shd w:val="clear" w:color="000000" w:fill="92D050"/>
            <w:vAlign w:val="center"/>
            <w:hideMark/>
          </w:tcPr>
          <w:p w14:paraId="2CFA5D6D"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Elastic</w:t>
            </w:r>
          </w:p>
        </w:tc>
        <w:tc>
          <w:tcPr>
            <w:tcW w:w="1440" w:type="dxa"/>
            <w:tcBorders>
              <w:top w:val="nil"/>
              <w:left w:val="nil"/>
              <w:bottom w:val="single" w:sz="4" w:space="0" w:color="auto"/>
              <w:right w:val="single" w:sz="4" w:space="0" w:color="auto"/>
            </w:tcBorders>
            <w:shd w:val="clear" w:color="000000" w:fill="92D050"/>
            <w:vAlign w:val="center"/>
            <w:hideMark/>
          </w:tcPr>
          <w:p w14:paraId="1BDED765"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-102.6%</w:t>
            </w:r>
          </w:p>
        </w:tc>
        <w:tc>
          <w:tcPr>
            <w:tcW w:w="8580" w:type="dxa"/>
            <w:tcBorders>
              <w:top w:val="nil"/>
              <w:left w:val="nil"/>
              <w:bottom w:val="single" w:sz="4" w:space="0" w:color="auto"/>
              <w:right w:val="single" w:sz="4" w:space="0" w:color="auto"/>
            </w:tcBorders>
            <w:noWrap/>
            <w:vAlign w:val="bottom"/>
            <w:hideMark/>
          </w:tcPr>
          <w:p w14:paraId="4EFA0B64"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A classic elastic segment where price is a key purchasing driver.</w:t>
            </w:r>
          </w:p>
        </w:tc>
      </w:tr>
      <w:tr w:rsidR="00CD298E" w:rsidRPr="00CD298E" w14:paraId="7C14EFC7"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69796C5E"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Dress</w:t>
            </w:r>
          </w:p>
        </w:tc>
        <w:tc>
          <w:tcPr>
            <w:tcW w:w="1440" w:type="dxa"/>
            <w:tcBorders>
              <w:top w:val="nil"/>
              <w:left w:val="nil"/>
              <w:bottom w:val="single" w:sz="4" w:space="0" w:color="auto"/>
              <w:right w:val="single" w:sz="4" w:space="0" w:color="auto"/>
            </w:tcBorders>
            <w:vAlign w:val="center"/>
            <w:hideMark/>
          </w:tcPr>
          <w:p w14:paraId="723F3068"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Average</w:t>
            </w:r>
          </w:p>
        </w:tc>
        <w:tc>
          <w:tcPr>
            <w:tcW w:w="1440" w:type="dxa"/>
            <w:tcBorders>
              <w:top w:val="nil"/>
              <w:left w:val="nil"/>
              <w:bottom w:val="single" w:sz="4" w:space="0" w:color="auto"/>
              <w:right w:val="single" w:sz="4" w:space="0" w:color="auto"/>
            </w:tcBorders>
            <w:shd w:val="clear" w:color="000000" w:fill="FFFF00"/>
            <w:vAlign w:val="center"/>
            <w:hideMark/>
          </w:tcPr>
          <w:p w14:paraId="7D30F2F3"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Excluded</w:t>
            </w:r>
          </w:p>
        </w:tc>
        <w:tc>
          <w:tcPr>
            <w:tcW w:w="1440" w:type="dxa"/>
            <w:tcBorders>
              <w:top w:val="nil"/>
              <w:left w:val="nil"/>
              <w:bottom w:val="single" w:sz="4" w:space="0" w:color="auto"/>
              <w:right w:val="single" w:sz="4" w:space="0" w:color="auto"/>
            </w:tcBorders>
            <w:shd w:val="clear" w:color="000000" w:fill="FFFF00"/>
            <w:vAlign w:val="center"/>
            <w:hideMark/>
          </w:tcPr>
          <w:p w14:paraId="59E54724"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56.9%</w:t>
            </w:r>
          </w:p>
        </w:tc>
        <w:tc>
          <w:tcPr>
            <w:tcW w:w="8580" w:type="dxa"/>
            <w:tcBorders>
              <w:top w:val="nil"/>
              <w:left w:val="nil"/>
              <w:bottom w:val="single" w:sz="4" w:space="0" w:color="auto"/>
              <w:right w:val="single" w:sz="4" w:space="0" w:color="auto"/>
            </w:tcBorders>
            <w:noWrap/>
            <w:vAlign w:val="bottom"/>
            <w:hideMark/>
          </w:tcPr>
          <w:p w14:paraId="4BE71B73"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No conclusive evidence of price effect.</w:t>
            </w:r>
          </w:p>
        </w:tc>
      </w:tr>
      <w:tr w:rsidR="00CD298E" w:rsidRPr="00CD298E" w14:paraId="1B686A10"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4A3F9FCD"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Kurta</w:t>
            </w:r>
          </w:p>
        </w:tc>
        <w:tc>
          <w:tcPr>
            <w:tcW w:w="1440" w:type="dxa"/>
            <w:tcBorders>
              <w:top w:val="nil"/>
              <w:left w:val="nil"/>
              <w:bottom w:val="single" w:sz="4" w:space="0" w:color="auto"/>
              <w:right w:val="single" w:sz="4" w:space="0" w:color="auto"/>
            </w:tcBorders>
            <w:vAlign w:val="center"/>
            <w:hideMark/>
          </w:tcPr>
          <w:p w14:paraId="05E254B7"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Economy</w:t>
            </w:r>
          </w:p>
        </w:tc>
        <w:tc>
          <w:tcPr>
            <w:tcW w:w="1440" w:type="dxa"/>
            <w:tcBorders>
              <w:top w:val="nil"/>
              <w:left w:val="nil"/>
              <w:bottom w:val="single" w:sz="4" w:space="0" w:color="auto"/>
              <w:right w:val="single" w:sz="4" w:space="0" w:color="auto"/>
            </w:tcBorders>
            <w:shd w:val="clear" w:color="000000" w:fill="FCE4D6"/>
            <w:vAlign w:val="center"/>
            <w:hideMark/>
          </w:tcPr>
          <w:p w14:paraId="56D8B0C5"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Inelastic</w:t>
            </w:r>
          </w:p>
        </w:tc>
        <w:tc>
          <w:tcPr>
            <w:tcW w:w="1440" w:type="dxa"/>
            <w:tcBorders>
              <w:top w:val="nil"/>
              <w:left w:val="nil"/>
              <w:bottom w:val="single" w:sz="4" w:space="0" w:color="auto"/>
              <w:right w:val="single" w:sz="4" w:space="0" w:color="auto"/>
            </w:tcBorders>
            <w:shd w:val="clear" w:color="000000" w:fill="FCE4D6"/>
            <w:vAlign w:val="center"/>
            <w:hideMark/>
          </w:tcPr>
          <w:p w14:paraId="5202498F"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-67.1%</w:t>
            </w:r>
          </w:p>
        </w:tc>
        <w:tc>
          <w:tcPr>
            <w:tcW w:w="8580" w:type="dxa"/>
            <w:tcBorders>
              <w:top w:val="nil"/>
              <w:left w:val="nil"/>
              <w:bottom w:val="single" w:sz="4" w:space="0" w:color="auto"/>
              <w:right w:val="single" w:sz="4" w:space="0" w:color="auto"/>
            </w:tcBorders>
            <w:noWrap/>
            <w:vAlign w:val="bottom"/>
            <w:hideMark/>
          </w:tcPr>
          <w:p w14:paraId="3CCCE48B"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Economy Kurta buyers are less price-sensitive than other economy segments.</w:t>
            </w:r>
          </w:p>
        </w:tc>
      </w:tr>
      <w:tr w:rsidR="00CD298E" w:rsidRPr="00CD298E" w14:paraId="3B58709A"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0FB998D2"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Set</w:t>
            </w:r>
          </w:p>
        </w:tc>
        <w:tc>
          <w:tcPr>
            <w:tcW w:w="1440" w:type="dxa"/>
            <w:tcBorders>
              <w:top w:val="nil"/>
              <w:left w:val="nil"/>
              <w:bottom w:val="single" w:sz="4" w:space="0" w:color="auto"/>
              <w:right w:val="single" w:sz="4" w:space="0" w:color="auto"/>
            </w:tcBorders>
            <w:vAlign w:val="center"/>
            <w:hideMark/>
          </w:tcPr>
          <w:p w14:paraId="5E285BD2"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Premium</w:t>
            </w:r>
          </w:p>
        </w:tc>
        <w:tc>
          <w:tcPr>
            <w:tcW w:w="1440" w:type="dxa"/>
            <w:tcBorders>
              <w:top w:val="nil"/>
              <w:left w:val="nil"/>
              <w:bottom w:val="single" w:sz="4" w:space="0" w:color="auto"/>
              <w:right w:val="single" w:sz="4" w:space="0" w:color="auto"/>
            </w:tcBorders>
            <w:shd w:val="clear" w:color="000000" w:fill="FFFF00"/>
            <w:vAlign w:val="center"/>
            <w:hideMark/>
          </w:tcPr>
          <w:p w14:paraId="4D577595"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Excluded</w:t>
            </w:r>
          </w:p>
        </w:tc>
        <w:tc>
          <w:tcPr>
            <w:tcW w:w="1440" w:type="dxa"/>
            <w:tcBorders>
              <w:top w:val="nil"/>
              <w:left w:val="nil"/>
              <w:bottom w:val="single" w:sz="4" w:space="0" w:color="auto"/>
              <w:right w:val="single" w:sz="4" w:space="0" w:color="auto"/>
            </w:tcBorders>
            <w:shd w:val="clear" w:color="000000" w:fill="FFFF00"/>
            <w:vAlign w:val="center"/>
            <w:hideMark/>
          </w:tcPr>
          <w:p w14:paraId="2F46BD5B"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46.7%</w:t>
            </w:r>
          </w:p>
        </w:tc>
        <w:tc>
          <w:tcPr>
            <w:tcW w:w="8580" w:type="dxa"/>
            <w:tcBorders>
              <w:top w:val="nil"/>
              <w:left w:val="nil"/>
              <w:bottom w:val="single" w:sz="4" w:space="0" w:color="auto"/>
              <w:right w:val="single" w:sz="4" w:space="0" w:color="auto"/>
            </w:tcBorders>
            <w:noWrap/>
            <w:vAlign w:val="bottom"/>
            <w:hideMark/>
          </w:tcPr>
          <w:p w14:paraId="47DB18EF"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The relationship is not strong enough to act on.</w:t>
            </w:r>
          </w:p>
        </w:tc>
      </w:tr>
      <w:tr w:rsidR="00CD298E" w:rsidRPr="00CD298E" w14:paraId="6F046793"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4AE48D60"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D) Top</w:t>
            </w:r>
          </w:p>
        </w:tc>
        <w:tc>
          <w:tcPr>
            <w:tcW w:w="1440" w:type="dxa"/>
            <w:tcBorders>
              <w:top w:val="nil"/>
              <w:left w:val="nil"/>
              <w:bottom w:val="single" w:sz="4" w:space="0" w:color="auto"/>
              <w:right w:val="single" w:sz="4" w:space="0" w:color="auto"/>
            </w:tcBorders>
            <w:vAlign w:val="center"/>
            <w:hideMark/>
          </w:tcPr>
          <w:p w14:paraId="3D107604"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Economy</w:t>
            </w:r>
          </w:p>
        </w:tc>
        <w:tc>
          <w:tcPr>
            <w:tcW w:w="1440" w:type="dxa"/>
            <w:tcBorders>
              <w:top w:val="nil"/>
              <w:left w:val="nil"/>
              <w:bottom w:val="single" w:sz="4" w:space="0" w:color="auto"/>
              <w:right w:val="single" w:sz="4" w:space="0" w:color="auto"/>
            </w:tcBorders>
            <w:shd w:val="clear" w:color="000000" w:fill="92D050"/>
            <w:vAlign w:val="center"/>
            <w:hideMark/>
          </w:tcPr>
          <w:p w14:paraId="3B8C3EA3"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Elastic</w:t>
            </w:r>
          </w:p>
        </w:tc>
        <w:tc>
          <w:tcPr>
            <w:tcW w:w="1440" w:type="dxa"/>
            <w:tcBorders>
              <w:top w:val="nil"/>
              <w:left w:val="nil"/>
              <w:bottom w:val="single" w:sz="4" w:space="0" w:color="auto"/>
              <w:right w:val="single" w:sz="4" w:space="0" w:color="auto"/>
            </w:tcBorders>
            <w:shd w:val="clear" w:color="000000" w:fill="92D050"/>
            <w:vAlign w:val="center"/>
            <w:hideMark/>
          </w:tcPr>
          <w:p w14:paraId="0E4BBC20"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-187.8%</w:t>
            </w:r>
          </w:p>
        </w:tc>
        <w:tc>
          <w:tcPr>
            <w:tcW w:w="8580" w:type="dxa"/>
            <w:tcBorders>
              <w:top w:val="nil"/>
              <w:left w:val="nil"/>
              <w:bottom w:val="single" w:sz="4" w:space="0" w:color="auto"/>
              <w:right w:val="single" w:sz="4" w:space="0" w:color="auto"/>
            </w:tcBorders>
            <w:noWrap/>
            <w:vAlign w:val="bottom"/>
            <w:hideMark/>
          </w:tcPr>
          <w:p w14:paraId="0A7CC0FD"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A classic elastic segment where price is a key purchasing driver.</w:t>
            </w:r>
          </w:p>
        </w:tc>
      </w:tr>
      <w:tr w:rsidR="00CD298E" w:rsidRPr="00CD298E" w14:paraId="67D75AA8"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17065F0D"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D) Top</w:t>
            </w:r>
          </w:p>
        </w:tc>
        <w:tc>
          <w:tcPr>
            <w:tcW w:w="1440" w:type="dxa"/>
            <w:tcBorders>
              <w:top w:val="nil"/>
              <w:left w:val="nil"/>
              <w:bottom w:val="single" w:sz="4" w:space="0" w:color="auto"/>
              <w:right w:val="single" w:sz="4" w:space="0" w:color="auto"/>
            </w:tcBorders>
            <w:vAlign w:val="center"/>
            <w:hideMark/>
          </w:tcPr>
          <w:p w14:paraId="6A7937E2"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Average</w:t>
            </w:r>
          </w:p>
        </w:tc>
        <w:tc>
          <w:tcPr>
            <w:tcW w:w="1440" w:type="dxa"/>
            <w:tcBorders>
              <w:top w:val="nil"/>
              <w:left w:val="nil"/>
              <w:bottom w:val="single" w:sz="4" w:space="0" w:color="auto"/>
              <w:right w:val="single" w:sz="4" w:space="0" w:color="auto"/>
            </w:tcBorders>
            <w:shd w:val="clear" w:color="000000" w:fill="FFFF00"/>
            <w:vAlign w:val="center"/>
            <w:hideMark/>
          </w:tcPr>
          <w:p w14:paraId="4761C1DA"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Excluded</w:t>
            </w:r>
          </w:p>
        </w:tc>
        <w:tc>
          <w:tcPr>
            <w:tcW w:w="1440" w:type="dxa"/>
            <w:tcBorders>
              <w:top w:val="nil"/>
              <w:left w:val="nil"/>
              <w:bottom w:val="single" w:sz="4" w:space="0" w:color="auto"/>
              <w:right w:val="single" w:sz="4" w:space="0" w:color="auto"/>
            </w:tcBorders>
            <w:shd w:val="clear" w:color="000000" w:fill="FFFF00"/>
            <w:vAlign w:val="center"/>
            <w:hideMark/>
          </w:tcPr>
          <w:p w14:paraId="0C569F7E"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121.2%</w:t>
            </w:r>
          </w:p>
        </w:tc>
        <w:tc>
          <w:tcPr>
            <w:tcW w:w="8580" w:type="dxa"/>
            <w:tcBorders>
              <w:top w:val="nil"/>
              <w:left w:val="nil"/>
              <w:bottom w:val="single" w:sz="4" w:space="0" w:color="auto"/>
              <w:right w:val="single" w:sz="4" w:space="0" w:color="auto"/>
            </w:tcBorders>
            <w:noWrap/>
            <w:vAlign w:val="bottom"/>
            <w:hideMark/>
          </w:tcPr>
          <w:p w14:paraId="72314956" w14:textId="1D4F1F7A"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Anomalous: </w:t>
            </w:r>
            <w:r w:rsidRPr="00CD298E">
              <w:rPr>
                <w:rFonts w:ascii="Calibri" w:eastAsia="Times New Roman" w:hAnsi="Calibri" w:cs="Calibri"/>
                <w:color w:val="000000"/>
                <w:kern w:val="0"/>
                <w:sz w:val="22"/>
                <w:szCs w:val="22"/>
                <w:lang w:eastAsia="en-IN"/>
                <w14:ligatures w14:val="none"/>
              </w:rPr>
              <w:t>Suggests other factors (promotions, trends) were the real drivers of sales.</w:t>
            </w:r>
          </w:p>
        </w:tc>
      </w:tr>
      <w:tr w:rsidR="00CD298E" w:rsidRPr="00CD298E" w14:paraId="416F01DD"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4BBDC6F5"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Dress</w:t>
            </w:r>
          </w:p>
        </w:tc>
        <w:tc>
          <w:tcPr>
            <w:tcW w:w="1440" w:type="dxa"/>
            <w:tcBorders>
              <w:top w:val="nil"/>
              <w:left w:val="nil"/>
              <w:bottom w:val="single" w:sz="4" w:space="0" w:color="auto"/>
              <w:right w:val="single" w:sz="4" w:space="0" w:color="auto"/>
            </w:tcBorders>
            <w:vAlign w:val="center"/>
            <w:hideMark/>
          </w:tcPr>
          <w:p w14:paraId="4A867C5F"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Economy</w:t>
            </w:r>
          </w:p>
        </w:tc>
        <w:tc>
          <w:tcPr>
            <w:tcW w:w="1440" w:type="dxa"/>
            <w:tcBorders>
              <w:top w:val="nil"/>
              <w:left w:val="nil"/>
              <w:bottom w:val="single" w:sz="4" w:space="0" w:color="auto"/>
              <w:right w:val="single" w:sz="4" w:space="0" w:color="auto"/>
            </w:tcBorders>
            <w:shd w:val="clear" w:color="000000" w:fill="92D050"/>
            <w:vAlign w:val="center"/>
            <w:hideMark/>
          </w:tcPr>
          <w:p w14:paraId="245E1A69"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Elastic</w:t>
            </w:r>
          </w:p>
        </w:tc>
        <w:tc>
          <w:tcPr>
            <w:tcW w:w="1440" w:type="dxa"/>
            <w:tcBorders>
              <w:top w:val="nil"/>
              <w:left w:val="nil"/>
              <w:bottom w:val="single" w:sz="4" w:space="0" w:color="auto"/>
              <w:right w:val="single" w:sz="4" w:space="0" w:color="auto"/>
            </w:tcBorders>
            <w:shd w:val="clear" w:color="000000" w:fill="92D050"/>
            <w:vAlign w:val="center"/>
            <w:hideMark/>
          </w:tcPr>
          <w:p w14:paraId="4927F613"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-272.9%</w:t>
            </w:r>
          </w:p>
        </w:tc>
        <w:tc>
          <w:tcPr>
            <w:tcW w:w="8580" w:type="dxa"/>
            <w:tcBorders>
              <w:top w:val="nil"/>
              <w:left w:val="nil"/>
              <w:bottom w:val="single" w:sz="4" w:space="0" w:color="auto"/>
              <w:right w:val="single" w:sz="4" w:space="0" w:color="auto"/>
            </w:tcBorders>
            <w:noWrap/>
            <w:vAlign w:val="bottom"/>
            <w:hideMark/>
          </w:tcPr>
          <w:p w14:paraId="1D181F21"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As expected, buyers of economy dresses are highly sensitive to price.</w:t>
            </w:r>
          </w:p>
        </w:tc>
      </w:tr>
      <w:tr w:rsidR="00CD298E" w:rsidRPr="00CD298E" w14:paraId="42D5E03A"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5AA7630F"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Kurta</w:t>
            </w:r>
          </w:p>
        </w:tc>
        <w:tc>
          <w:tcPr>
            <w:tcW w:w="1440" w:type="dxa"/>
            <w:tcBorders>
              <w:top w:val="nil"/>
              <w:left w:val="nil"/>
              <w:bottom w:val="single" w:sz="4" w:space="0" w:color="auto"/>
              <w:right w:val="single" w:sz="4" w:space="0" w:color="auto"/>
            </w:tcBorders>
            <w:vAlign w:val="center"/>
            <w:hideMark/>
          </w:tcPr>
          <w:p w14:paraId="6290263E"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Premium</w:t>
            </w:r>
          </w:p>
        </w:tc>
        <w:tc>
          <w:tcPr>
            <w:tcW w:w="1440" w:type="dxa"/>
            <w:tcBorders>
              <w:top w:val="nil"/>
              <w:left w:val="nil"/>
              <w:bottom w:val="single" w:sz="4" w:space="0" w:color="auto"/>
              <w:right w:val="single" w:sz="4" w:space="0" w:color="auto"/>
            </w:tcBorders>
            <w:shd w:val="clear" w:color="000000" w:fill="92D050"/>
            <w:vAlign w:val="center"/>
            <w:hideMark/>
          </w:tcPr>
          <w:p w14:paraId="4F17F2A9"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Elastic</w:t>
            </w:r>
          </w:p>
        </w:tc>
        <w:tc>
          <w:tcPr>
            <w:tcW w:w="1440" w:type="dxa"/>
            <w:tcBorders>
              <w:top w:val="nil"/>
              <w:left w:val="nil"/>
              <w:bottom w:val="single" w:sz="4" w:space="0" w:color="auto"/>
              <w:right w:val="single" w:sz="4" w:space="0" w:color="auto"/>
            </w:tcBorders>
            <w:shd w:val="clear" w:color="000000" w:fill="92D050"/>
            <w:vAlign w:val="center"/>
            <w:hideMark/>
          </w:tcPr>
          <w:p w14:paraId="64C52AF0"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-135.7%</w:t>
            </w:r>
          </w:p>
        </w:tc>
        <w:tc>
          <w:tcPr>
            <w:tcW w:w="8580" w:type="dxa"/>
            <w:tcBorders>
              <w:top w:val="nil"/>
              <w:left w:val="nil"/>
              <w:bottom w:val="single" w:sz="4" w:space="0" w:color="auto"/>
              <w:right w:val="single" w:sz="4" w:space="0" w:color="auto"/>
            </w:tcBorders>
            <w:noWrap/>
            <w:vAlign w:val="bottom"/>
            <w:hideMark/>
          </w:tcPr>
          <w:p w14:paraId="7B0D2874"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Similar to premium dresses, premium kurta buyers are also price-sensitive.</w:t>
            </w:r>
          </w:p>
        </w:tc>
      </w:tr>
      <w:tr w:rsidR="00CD298E" w:rsidRPr="00CD298E" w14:paraId="78E5160F"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2207F51A"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Dress</w:t>
            </w:r>
          </w:p>
        </w:tc>
        <w:tc>
          <w:tcPr>
            <w:tcW w:w="1440" w:type="dxa"/>
            <w:tcBorders>
              <w:top w:val="nil"/>
              <w:left w:val="nil"/>
              <w:bottom w:val="single" w:sz="4" w:space="0" w:color="auto"/>
              <w:right w:val="single" w:sz="4" w:space="0" w:color="auto"/>
            </w:tcBorders>
            <w:vAlign w:val="center"/>
            <w:hideMark/>
          </w:tcPr>
          <w:p w14:paraId="2652ACBB"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Premium</w:t>
            </w:r>
          </w:p>
        </w:tc>
        <w:tc>
          <w:tcPr>
            <w:tcW w:w="1440" w:type="dxa"/>
            <w:tcBorders>
              <w:top w:val="nil"/>
              <w:left w:val="nil"/>
              <w:bottom w:val="single" w:sz="4" w:space="0" w:color="auto"/>
              <w:right w:val="single" w:sz="4" w:space="0" w:color="auto"/>
            </w:tcBorders>
            <w:shd w:val="clear" w:color="000000" w:fill="92D050"/>
            <w:vAlign w:val="center"/>
            <w:hideMark/>
          </w:tcPr>
          <w:p w14:paraId="4CB943F2"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Elastic</w:t>
            </w:r>
          </w:p>
        </w:tc>
        <w:tc>
          <w:tcPr>
            <w:tcW w:w="1440" w:type="dxa"/>
            <w:tcBorders>
              <w:top w:val="nil"/>
              <w:left w:val="nil"/>
              <w:bottom w:val="single" w:sz="4" w:space="0" w:color="auto"/>
              <w:right w:val="single" w:sz="4" w:space="0" w:color="auto"/>
            </w:tcBorders>
            <w:shd w:val="clear" w:color="000000" w:fill="92D050"/>
            <w:vAlign w:val="center"/>
            <w:hideMark/>
          </w:tcPr>
          <w:p w14:paraId="7A7075B9"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-401.4%</w:t>
            </w:r>
          </w:p>
        </w:tc>
        <w:tc>
          <w:tcPr>
            <w:tcW w:w="8580" w:type="dxa"/>
            <w:tcBorders>
              <w:top w:val="nil"/>
              <w:left w:val="nil"/>
              <w:bottom w:val="single" w:sz="4" w:space="0" w:color="auto"/>
              <w:right w:val="single" w:sz="4" w:space="0" w:color="auto"/>
            </w:tcBorders>
            <w:noWrap/>
            <w:vAlign w:val="bottom"/>
            <w:hideMark/>
          </w:tcPr>
          <w:p w14:paraId="4761401B"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Surprisingly, premium buyers are the most price-sensitive. Major optimization opportunity.</w:t>
            </w:r>
          </w:p>
        </w:tc>
      </w:tr>
      <w:tr w:rsidR="00CD298E" w:rsidRPr="00CD298E" w14:paraId="0C6E2412"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078C3DE1"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D) Top</w:t>
            </w:r>
          </w:p>
        </w:tc>
        <w:tc>
          <w:tcPr>
            <w:tcW w:w="1440" w:type="dxa"/>
            <w:tcBorders>
              <w:top w:val="nil"/>
              <w:left w:val="nil"/>
              <w:bottom w:val="single" w:sz="4" w:space="0" w:color="auto"/>
              <w:right w:val="single" w:sz="4" w:space="0" w:color="auto"/>
            </w:tcBorders>
            <w:vAlign w:val="center"/>
            <w:hideMark/>
          </w:tcPr>
          <w:p w14:paraId="2A2EA11A"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Premium</w:t>
            </w:r>
          </w:p>
        </w:tc>
        <w:tc>
          <w:tcPr>
            <w:tcW w:w="1440" w:type="dxa"/>
            <w:tcBorders>
              <w:top w:val="nil"/>
              <w:left w:val="nil"/>
              <w:bottom w:val="single" w:sz="4" w:space="0" w:color="auto"/>
              <w:right w:val="single" w:sz="4" w:space="0" w:color="auto"/>
            </w:tcBorders>
            <w:shd w:val="clear" w:color="000000" w:fill="FFFF00"/>
            <w:vAlign w:val="center"/>
            <w:hideMark/>
          </w:tcPr>
          <w:p w14:paraId="59E73D68"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Excluded</w:t>
            </w:r>
          </w:p>
        </w:tc>
        <w:tc>
          <w:tcPr>
            <w:tcW w:w="1440" w:type="dxa"/>
            <w:tcBorders>
              <w:top w:val="nil"/>
              <w:left w:val="nil"/>
              <w:bottom w:val="single" w:sz="4" w:space="0" w:color="auto"/>
              <w:right w:val="single" w:sz="4" w:space="0" w:color="auto"/>
            </w:tcBorders>
            <w:shd w:val="clear" w:color="000000" w:fill="FFFF00"/>
            <w:vAlign w:val="center"/>
            <w:hideMark/>
          </w:tcPr>
          <w:p w14:paraId="172BAC41"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48.0%</w:t>
            </w:r>
          </w:p>
        </w:tc>
        <w:tc>
          <w:tcPr>
            <w:tcW w:w="8580" w:type="dxa"/>
            <w:tcBorders>
              <w:top w:val="nil"/>
              <w:left w:val="nil"/>
              <w:bottom w:val="single" w:sz="4" w:space="0" w:color="auto"/>
              <w:right w:val="single" w:sz="4" w:space="0" w:color="auto"/>
            </w:tcBorders>
            <w:noWrap/>
            <w:vAlign w:val="bottom"/>
            <w:hideMark/>
          </w:tcPr>
          <w:p w14:paraId="017BFB8E"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No reliable price effect was found.</w:t>
            </w:r>
          </w:p>
        </w:tc>
      </w:tr>
      <w:tr w:rsidR="00CD298E" w:rsidRPr="00CD298E" w14:paraId="46F9B2F9"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786A83D4"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Z) Other</w:t>
            </w:r>
          </w:p>
        </w:tc>
        <w:tc>
          <w:tcPr>
            <w:tcW w:w="1440" w:type="dxa"/>
            <w:tcBorders>
              <w:top w:val="nil"/>
              <w:left w:val="nil"/>
              <w:bottom w:val="single" w:sz="4" w:space="0" w:color="auto"/>
              <w:right w:val="single" w:sz="4" w:space="0" w:color="auto"/>
            </w:tcBorders>
            <w:vAlign w:val="center"/>
            <w:hideMark/>
          </w:tcPr>
          <w:p w14:paraId="295057B0"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Average</w:t>
            </w:r>
          </w:p>
        </w:tc>
        <w:tc>
          <w:tcPr>
            <w:tcW w:w="1440" w:type="dxa"/>
            <w:tcBorders>
              <w:top w:val="nil"/>
              <w:left w:val="nil"/>
              <w:bottom w:val="single" w:sz="4" w:space="0" w:color="auto"/>
              <w:right w:val="single" w:sz="4" w:space="0" w:color="auto"/>
            </w:tcBorders>
            <w:shd w:val="clear" w:color="000000" w:fill="FCE4D6"/>
            <w:vAlign w:val="center"/>
            <w:hideMark/>
          </w:tcPr>
          <w:p w14:paraId="0A40B9F5"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Inelastic</w:t>
            </w:r>
          </w:p>
        </w:tc>
        <w:tc>
          <w:tcPr>
            <w:tcW w:w="1440" w:type="dxa"/>
            <w:tcBorders>
              <w:top w:val="nil"/>
              <w:left w:val="nil"/>
              <w:bottom w:val="single" w:sz="4" w:space="0" w:color="auto"/>
              <w:right w:val="single" w:sz="4" w:space="0" w:color="auto"/>
            </w:tcBorders>
            <w:shd w:val="clear" w:color="000000" w:fill="FCE4D6"/>
            <w:vAlign w:val="center"/>
            <w:hideMark/>
          </w:tcPr>
          <w:p w14:paraId="702A9643"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-37.7%</w:t>
            </w:r>
          </w:p>
        </w:tc>
        <w:tc>
          <w:tcPr>
            <w:tcW w:w="8580" w:type="dxa"/>
            <w:tcBorders>
              <w:top w:val="nil"/>
              <w:left w:val="nil"/>
              <w:bottom w:val="single" w:sz="4" w:space="0" w:color="auto"/>
              <w:right w:val="single" w:sz="4" w:space="0" w:color="auto"/>
            </w:tcBorders>
            <w:noWrap/>
            <w:vAlign w:val="bottom"/>
            <w:hideMark/>
          </w:tcPr>
          <w:p w14:paraId="2CD37344"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A small but clearly defined inelastic segment.</w:t>
            </w:r>
          </w:p>
        </w:tc>
      </w:tr>
      <w:tr w:rsidR="00CD298E" w:rsidRPr="00CD298E" w14:paraId="0FEA8002"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7453C7EE"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Z) Other</w:t>
            </w:r>
          </w:p>
        </w:tc>
        <w:tc>
          <w:tcPr>
            <w:tcW w:w="1440" w:type="dxa"/>
            <w:tcBorders>
              <w:top w:val="nil"/>
              <w:left w:val="nil"/>
              <w:bottom w:val="single" w:sz="4" w:space="0" w:color="auto"/>
              <w:right w:val="single" w:sz="4" w:space="0" w:color="auto"/>
            </w:tcBorders>
            <w:vAlign w:val="center"/>
            <w:hideMark/>
          </w:tcPr>
          <w:p w14:paraId="4D29EE9F"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Economy</w:t>
            </w:r>
          </w:p>
        </w:tc>
        <w:tc>
          <w:tcPr>
            <w:tcW w:w="1440" w:type="dxa"/>
            <w:tcBorders>
              <w:top w:val="nil"/>
              <w:left w:val="nil"/>
              <w:bottom w:val="single" w:sz="4" w:space="0" w:color="auto"/>
              <w:right w:val="single" w:sz="4" w:space="0" w:color="auto"/>
            </w:tcBorders>
            <w:shd w:val="clear" w:color="000000" w:fill="FFFF00"/>
            <w:vAlign w:val="center"/>
            <w:hideMark/>
          </w:tcPr>
          <w:p w14:paraId="5CB418A9"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Excluded</w:t>
            </w:r>
          </w:p>
        </w:tc>
        <w:tc>
          <w:tcPr>
            <w:tcW w:w="1440" w:type="dxa"/>
            <w:tcBorders>
              <w:top w:val="nil"/>
              <w:left w:val="nil"/>
              <w:bottom w:val="single" w:sz="4" w:space="0" w:color="auto"/>
              <w:right w:val="single" w:sz="4" w:space="0" w:color="auto"/>
            </w:tcBorders>
            <w:shd w:val="clear" w:color="000000" w:fill="FFFF00"/>
            <w:vAlign w:val="center"/>
            <w:hideMark/>
          </w:tcPr>
          <w:p w14:paraId="0422EF81"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7.6%</w:t>
            </w:r>
          </w:p>
        </w:tc>
        <w:tc>
          <w:tcPr>
            <w:tcW w:w="8580" w:type="dxa"/>
            <w:tcBorders>
              <w:top w:val="nil"/>
              <w:left w:val="nil"/>
              <w:bottom w:val="single" w:sz="4" w:space="0" w:color="auto"/>
              <w:right w:val="single" w:sz="4" w:space="0" w:color="auto"/>
            </w:tcBorders>
            <w:noWrap/>
            <w:vAlign w:val="bottom"/>
            <w:hideMark/>
          </w:tcPr>
          <w:p w14:paraId="4B4ACEC0"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No price effect detected.</w:t>
            </w:r>
          </w:p>
        </w:tc>
      </w:tr>
      <w:tr w:rsidR="00CD298E" w:rsidRPr="00CD298E" w14:paraId="6740F35A"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323D818D"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Z) Other</w:t>
            </w:r>
          </w:p>
        </w:tc>
        <w:tc>
          <w:tcPr>
            <w:tcW w:w="1440" w:type="dxa"/>
            <w:tcBorders>
              <w:top w:val="nil"/>
              <w:left w:val="nil"/>
              <w:bottom w:val="single" w:sz="4" w:space="0" w:color="auto"/>
              <w:right w:val="single" w:sz="4" w:space="0" w:color="auto"/>
            </w:tcBorders>
            <w:vAlign w:val="center"/>
            <w:hideMark/>
          </w:tcPr>
          <w:p w14:paraId="7C9FDA3B"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Premium</w:t>
            </w:r>
          </w:p>
        </w:tc>
        <w:tc>
          <w:tcPr>
            <w:tcW w:w="1440" w:type="dxa"/>
            <w:tcBorders>
              <w:top w:val="nil"/>
              <w:left w:val="nil"/>
              <w:bottom w:val="single" w:sz="4" w:space="0" w:color="auto"/>
              <w:right w:val="single" w:sz="4" w:space="0" w:color="auto"/>
            </w:tcBorders>
            <w:shd w:val="clear" w:color="000000" w:fill="FFFF00"/>
            <w:vAlign w:val="center"/>
            <w:hideMark/>
          </w:tcPr>
          <w:p w14:paraId="1B840BBD"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Excluded</w:t>
            </w:r>
          </w:p>
        </w:tc>
        <w:tc>
          <w:tcPr>
            <w:tcW w:w="1440" w:type="dxa"/>
            <w:tcBorders>
              <w:top w:val="nil"/>
              <w:left w:val="nil"/>
              <w:bottom w:val="single" w:sz="4" w:space="0" w:color="auto"/>
              <w:right w:val="single" w:sz="4" w:space="0" w:color="auto"/>
            </w:tcBorders>
            <w:shd w:val="clear" w:color="000000" w:fill="FFFF00"/>
            <w:vAlign w:val="center"/>
            <w:hideMark/>
          </w:tcPr>
          <w:p w14:paraId="33C30057"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55.5%</w:t>
            </w:r>
          </w:p>
        </w:tc>
        <w:tc>
          <w:tcPr>
            <w:tcW w:w="8580" w:type="dxa"/>
            <w:tcBorders>
              <w:top w:val="nil"/>
              <w:left w:val="nil"/>
              <w:bottom w:val="single" w:sz="4" w:space="0" w:color="auto"/>
              <w:right w:val="single" w:sz="4" w:space="0" w:color="auto"/>
            </w:tcBorders>
            <w:noWrap/>
            <w:vAlign w:val="bottom"/>
            <w:hideMark/>
          </w:tcPr>
          <w:p w14:paraId="5AF0E9AA"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The model is not confident in this relationship.</w:t>
            </w:r>
          </w:p>
        </w:tc>
      </w:tr>
    </w:tbl>
    <w:p w14:paraId="67D6ED49" w14:textId="77777777" w:rsidR="00CD298E" w:rsidRPr="00C501B0" w:rsidRDefault="00CD298E" w:rsidP="00CD298E"/>
    <w:p w14:paraId="5D1EFB84" w14:textId="77777777" w:rsidR="00C501B0" w:rsidRPr="00C501B0" w:rsidRDefault="00C501B0" w:rsidP="00722D2D">
      <w:pPr>
        <w:pStyle w:val="Heading1"/>
      </w:pPr>
      <w:r w:rsidRPr="00C501B0">
        <w:t>4. Dynamic Pricing Simulation &amp; Framework</w:t>
      </w:r>
    </w:p>
    <w:p w14:paraId="08A3E361" w14:textId="77777777" w:rsidR="00C501B0" w:rsidRPr="00C501B0" w:rsidRDefault="00C501B0" w:rsidP="00C501B0">
      <w:r w:rsidRPr="00C501B0">
        <w:t>Based on these findings, we developed a dynamic pricing framework that blends mathematical optimization with real-world business constraints.</w:t>
      </w:r>
    </w:p>
    <w:p w14:paraId="1256AD59" w14:textId="77777777" w:rsidR="00C501B0" w:rsidRPr="00C501B0" w:rsidRDefault="00C501B0" w:rsidP="00722D2D">
      <w:pPr>
        <w:pStyle w:val="Heading2"/>
      </w:pPr>
      <w:r w:rsidRPr="00C501B0">
        <w:t>The Proposed Framework:</w:t>
      </w:r>
    </w:p>
    <w:p w14:paraId="2244F026" w14:textId="77777777" w:rsidR="00C501B0" w:rsidRDefault="00C501B0" w:rsidP="00C501B0">
      <w:pPr>
        <w:numPr>
          <w:ilvl w:val="0"/>
          <w:numId w:val="3"/>
        </w:numPr>
      </w:pPr>
      <w:r w:rsidRPr="00C501B0">
        <w:rPr>
          <w:b/>
          <w:bCs/>
        </w:rPr>
        <w:t>For Elastic Segments (Elasticity &lt; -1):</w:t>
      </w:r>
      <w:r w:rsidRPr="00C501B0">
        <w:t xml:space="preserve"> We use a profit-maximization formula to calculate the optimal price point that balances a lower price with higher volume.</w:t>
      </w:r>
    </w:p>
    <w:p w14:paraId="73CDAFDB" w14:textId="06650284" w:rsidR="00DB6E27" w:rsidRDefault="00DB6E27" w:rsidP="00DB6E27">
      <w:pPr>
        <w:numPr>
          <w:ilvl w:val="1"/>
          <w:numId w:val="3"/>
        </w:numPr>
      </w:pPr>
      <w:r>
        <w:t>Calculated Price = Cost * (Elasticity / (1 + Elasticity))</w:t>
      </w:r>
    </w:p>
    <w:p w14:paraId="3F1685D9" w14:textId="77777777" w:rsidR="00DB6E27" w:rsidRDefault="00DB6E27" w:rsidP="00DB6E27">
      <w:pPr>
        <w:numPr>
          <w:ilvl w:val="1"/>
          <w:numId w:val="3"/>
        </w:numPr>
      </w:pPr>
      <w:r>
        <w:t xml:space="preserve">Apply the guardrails to get the final price: </w:t>
      </w:r>
    </w:p>
    <w:p w14:paraId="6D3CA2B5" w14:textId="77777777" w:rsidR="00DB6E27" w:rsidRDefault="00DB6E27" w:rsidP="00DB6E27">
      <w:pPr>
        <w:numPr>
          <w:ilvl w:val="2"/>
          <w:numId w:val="3"/>
        </w:numPr>
      </w:pPr>
      <w:r>
        <w:t xml:space="preserve">New Price = </w:t>
      </w:r>
      <w:proofErr w:type="gramStart"/>
      <w:r>
        <w:t>max( Min</w:t>
      </w:r>
      <w:proofErr w:type="gramEnd"/>
      <w:r>
        <w:t xml:space="preserve"> Allowable Price, </w:t>
      </w:r>
      <w:proofErr w:type="gramStart"/>
      <w:r>
        <w:t>min(</w:t>
      </w:r>
      <w:proofErr w:type="gramEnd"/>
      <w:r>
        <w:t>Calculated Price, Max Allowable Price))</w:t>
      </w:r>
    </w:p>
    <w:p w14:paraId="3429195C" w14:textId="3CA97291" w:rsidR="00DB6E27" w:rsidRPr="00C501B0" w:rsidRDefault="00DB6E27" w:rsidP="00DB6E27">
      <w:pPr>
        <w:numPr>
          <w:ilvl w:val="2"/>
          <w:numId w:val="3"/>
        </w:numPr>
      </w:pPr>
      <w:r>
        <w:t xml:space="preserve">This is for </w:t>
      </w:r>
      <w:r w:rsidRPr="00C501B0">
        <w:t>preventing any extreme or brand-damaging adjustments.</w:t>
      </w:r>
    </w:p>
    <w:p w14:paraId="49BD99DA" w14:textId="77777777" w:rsidR="00C501B0" w:rsidRPr="00C501B0" w:rsidRDefault="00C501B0" w:rsidP="00C501B0">
      <w:pPr>
        <w:numPr>
          <w:ilvl w:val="0"/>
          <w:numId w:val="3"/>
        </w:numPr>
      </w:pPr>
      <w:r w:rsidRPr="00C501B0">
        <w:rPr>
          <w:b/>
          <w:bCs/>
        </w:rPr>
        <w:t>For Inelastic Segments (-1 &lt; Elasticity &lt; 0):</w:t>
      </w:r>
      <w:r w:rsidRPr="00C501B0">
        <w:t xml:space="preserve"> We simulate a cautious 5% price increase to capture more margin.</w:t>
      </w:r>
    </w:p>
    <w:p w14:paraId="09C414F1" w14:textId="77777777" w:rsidR="00C501B0" w:rsidRPr="00C501B0" w:rsidRDefault="00C501B0" w:rsidP="00C501B0">
      <w:pPr>
        <w:numPr>
          <w:ilvl w:val="0"/>
          <w:numId w:val="3"/>
        </w:numPr>
      </w:pPr>
      <w:r w:rsidRPr="00C501B0">
        <w:rPr>
          <w:b/>
          <w:bCs/>
        </w:rPr>
        <w:t>For Excluded Segments:</w:t>
      </w:r>
      <w:r w:rsidRPr="00C501B0">
        <w:t xml:space="preserve"> For segments where our model was not statistically confident, we recommend holding prices steady.</w:t>
      </w:r>
    </w:p>
    <w:p w14:paraId="17088261" w14:textId="4205F82C" w:rsidR="00C501B0" w:rsidRPr="00C501B0" w:rsidRDefault="00C501B0" w:rsidP="00722D2D">
      <w:pPr>
        <w:pStyle w:val="Heading1"/>
      </w:pPr>
      <w:r w:rsidRPr="00C501B0">
        <w:t>5. Evaluation &amp; Financial Impact</w:t>
      </w:r>
    </w:p>
    <w:p w14:paraId="3C7E77FD" w14:textId="77777777" w:rsidR="00C501B0" w:rsidRPr="00C501B0" w:rsidRDefault="00C501B0" w:rsidP="00C501B0">
      <w:r w:rsidRPr="00C501B0">
        <w:t>Running our historical sales data through this simulation framework yielded significant positive results.</w:t>
      </w:r>
    </w:p>
    <w:p w14:paraId="5ACDF9F4" w14:textId="24937F78" w:rsidR="00C501B0" w:rsidRPr="00C501B0" w:rsidRDefault="00C501B0" w:rsidP="00C501B0">
      <w:pPr>
        <w:numPr>
          <w:ilvl w:val="0"/>
          <w:numId w:val="4"/>
        </w:numPr>
      </w:pPr>
      <w:r w:rsidRPr="00C501B0">
        <w:rPr>
          <w:b/>
          <w:bCs/>
        </w:rPr>
        <w:t>Baseline Profit (</w:t>
      </w:r>
      <w:proofErr w:type="spellStart"/>
      <w:r w:rsidRPr="00C501B0">
        <w:rPr>
          <w:b/>
          <w:bCs/>
        </w:rPr>
        <w:t>Analyzed</w:t>
      </w:r>
      <w:proofErr w:type="spellEnd"/>
      <w:r w:rsidRPr="00C501B0">
        <w:rPr>
          <w:b/>
          <w:bCs/>
        </w:rPr>
        <w:t xml:space="preserve"> Segments):</w:t>
      </w:r>
      <w:r w:rsidRPr="00C501B0">
        <w:t xml:space="preserve"> ₹2</w:t>
      </w:r>
      <w:r w:rsidR="00DB6E27">
        <w:t>.60</w:t>
      </w:r>
      <w:r w:rsidRPr="00C501B0">
        <w:t xml:space="preserve"> Cr</w:t>
      </w:r>
    </w:p>
    <w:p w14:paraId="2AFAE5B3" w14:textId="704B2E89" w:rsidR="00C501B0" w:rsidRPr="00C501B0" w:rsidRDefault="00C501B0" w:rsidP="00C501B0">
      <w:pPr>
        <w:numPr>
          <w:ilvl w:val="0"/>
          <w:numId w:val="4"/>
        </w:numPr>
      </w:pPr>
      <w:r w:rsidRPr="00C501B0">
        <w:rPr>
          <w:b/>
          <w:bCs/>
        </w:rPr>
        <w:t>Simulated Profit (</w:t>
      </w:r>
      <w:proofErr w:type="spellStart"/>
      <w:r w:rsidRPr="00C501B0">
        <w:rPr>
          <w:b/>
          <w:bCs/>
        </w:rPr>
        <w:t>Analyzed</w:t>
      </w:r>
      <w:proofErr w:type="spellEnd"/>
      <w:r w:rsidRPr="00C501B0">
        <w:rPr>
          <w:b/>
          <w:bCs/>
        </w:rPr>
        <w:t xml:space="preserve"> Segments):</w:t>
      </w:r>
      <w:r w:rsidRPr="00C501B0">
        <w:t xml:space="preserve"> ₹</w:t>
      </w:r>
      <w:r w:rsidR="00DB6E27">
        <w:t>2.83</w:t>
      </w:r>
      <w:r w:rsidRPr="00C501B0">
        <w:t xml:space="preserve"> Cr</w:t>
      </w:r>
    </w:p>
    <w:p w14:paraId="764AD89E" w14:textId="3B4816EB" w:rsidR="00C501B0" w:rsidRPr="00C501B0" w:rsidRDefault="00C501B0" w:rsidP="00C501B0">
      <w:pPr>
        <w:numPr>
          <w:ilvl w:val="0"/>
          <w:numId w:val="4"/>
        </w:numPr>
      </w:pPr>
      <w:r w:rsidRPr="00C501B0">
        <w:rPr>
          <w:b/>
          <w:bCs/>
        </w:rPr>
        <w:t>Total Potential Profit Increase:</w:t>
      </w:r>
      <w:r w:rsidRPr="00C501B0">
        <w:t xml:space="preserve"> </w:t>
      </w:r>
      <w:r w:rsidRPr="00C501B0">
        <w:rPr>
          <w:b/>
          <w:bCs/>
        </w:rPr>
        <w:t>+₹</w:t>
      </w:r>
      <w:r w:rsidR="00DB6E27">
        <w:rPr>
          <w:b/>
          <w:bCs/>
        </w:rPr>
        <w:t>23.1</w:t>
      </w:r>
      <w:r w:rsidRPr="00C501B0">
        <w:rPr>
          <w:b/>
          <w:bCs/>
        </w:rPr>
        <w:t xml:space="preserve"> Lakhs (+</w:t>
      </w:r>
      <w:r w:rsidR="00DB6E27">
        <w:rPr>
          <w:b/>
          <w:bCs/>
        </w:rPr>
        <w:t>8.9</w:t>
      </w:r>
      <w:r w:rsidRPr="00C501B0">
        <w:rPr>
          <w:b/>
          <w:bCs/>
        </w:rPr>
        <w:t>%)</w:t>
      </w:r>
    </w:p>
    <w:p w14:paraId="30652860" w14:textId="77777777" w:rsidR="00C501B0" w:rsidRPr="00C501B0" w:rsidRDefault="00C501B0" w:rsidP="00C501B0">
      <w:r w:rsidRPr="00C501B0">
        <w:t>The profit lift is driven by a combination of strategies. For instance, the large, inelastic Set - Average segment contributed over ₹5.4 Lakhs in additional profit from a modest price increase. Conversely, the elastic Set - Economy segment added nearly ₹6.0 Lakhs in profit from a calculated price decrease that drove higher sales.</w:t>
      </w:r>
    </w:p>
    <w:p w14:paraId="33CAB1D5" w14:textId="77777777" w:rsidR="00C501B0" w:rsidRPr="00C501B0" w:rsidRDefault="00C501B0" w:rsidP="00722D2D">
      <w:pPr>
        <w:pStyle w:val="Heading1"/>
      </w:pPr>
      <w:r w:rsidRPr="00C501B0">
        <w:t>6. Recommendations &amp; Next Steps</w:t>
      </w:r>
    </w:p>
    <w:p w14:paraId="021512BF" w14:textId="77777777" w:rsidR="00C501B0" w:rsidRPr="00C501B0" w:rsidRDefault="00C501B0" w:rsidP="00C501B0">
      <w:pPr>
        <w:numPr>
          <w:ilvl w:val="0"/>
          <w:numId w:val="5"/>
        </w:numPr>
      </w:pPr>
      <w:r w:rsidRPr="00C501B0">
        <w:rPr>
          <w:b/>
          <w:bCs/>
        </w:rPr>
        <w:t>Phased Rollout with A/B Testing:</w:t>
      </w:r>
      <w:r w:rsidRPr="00C501B0">
        <w:t xml:space="preserve"> We recommend launching an A/B test for the new pricing on the highest-impact segments (e.g., Set - Average and Set - Economy). This will allow us to validate the model's predictions in a controlled environment before a full-scale implementation.</w:t>
      </w:r>
    </w:p>
    <w:p w14:paraId="7D7CDF1B" w14:textId="77777777" w:rsidR="00C501B0" w:rsidRPr="00C501B0" w:rsidRDefault="00C501B0" w:rsidP="00C501B0">
      <w:pPr>
        <w:numPr>
          <w:ilvl w:val="0"/>
          <w:numId w:val="5"/>
        </w:numPr>
      </w:pPr>
      <w:r w:rsidRPr="00C501B0">
        <w:rPr>
          <w:b/>
          <w:bCs/>
        </w:rPr>
        <w:t>Investigate Anomalous Segments:</w:t>
      </w:r>
      <w:r w:rsidRPr="00C501B0">
        <w:t xml:space="preserve"> A few segments showed either no clear price sensitivity or counter-intuitive results. These should be investigated further to understand if other factors like promotions or fashion trends are the primary drivers of demand.</w:t>
      </w:r>
    </w:p>
    <w:p w14:paraId="3A881815" w14:textId="467CEF77" w:rsidR="00C501B0" w:rsidRPr="00C501B0" w:rsidRDefault="00C501B0" w:rsidP="00C501B0">
      <w:pPr>
        <w:numPr>
          <w:ilvl w:val="0"/>
          <w:numId w:val="5"/>
        </w:numPr>
      </w:pPr>
      <w:r w:rsidRPr="00C501B0">
        <w:rPr>
          <w:b/>
          <w:bCs/>
        </w:rPr>
        <w:t>Enhance the Model with More Data:</w:t>
      </w:r>
      <w:r w:rsidRPr="00C501B0">
        <w:t xml:space="preserve"> For future iterations, we should enrich this model with additional data sources, such as promotional calendars, inventory levels, and seasonality. This will improve the accuracy of our elasticity calculations and allow for even more sophisticated scenario testing (e.g., </w:t>
      </w:r>
      <w:r w:rsidR="00BF439D" w:rsidRPr="00C501B0">
        <w:t>modelling</w:t>
      </w:r>
      <w:r w:rsidRPr="00C501B0">
        <w:t xml:space="preserve"> the impact of a holiday promotion).</w:t>
      </w:r>
    </w:p>
    <w:p w14:paraId="4E8CDF3A" w14:textId="77777777" w:rsidR="00A61CD5" w:rsidRDefault="00A61CD5"/>
    <w:sectPr w:rsidR="00A61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41544"/>
    <w:multiLevelType w:val="multilevel"/>
    <w:tmpl w:val="F7A8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40E38"/>
    <w:multiLevelType w:val="multilevel"/>
    <w:tmpl w:val="7CD6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C7ECA"/>
    <w:multiLevelType w:val="multilevel"/>
    <w:tmpl w:val="C5AE44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F40D4"/>
    <w:multiLevelType w:val="multilevel"/>
    <w:tmpl w:val="9ED0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284804"/>
    <w:multiLevelType w:val="multilevel"/>
    <w:tmpl w:val="EFFE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909065">
    <w:abstractNumId w:val="3"/>
  </w:num>
  <w:num w:numId="2" w16cid:durableId="1574386219">
    <w:abstractNumId w:val="0"/>
  </w:num>
  <w:num w:numId="3" w16cid:durableId="1562252164">
    <w:abstractNumId w:val="2"/>
  </w:num>
  <w:num w:numId="4" w16cid:durableId="1258320120">
    <w:abstractNumId w:val="4"/>
  </w:num>
  <w:num w:numId="5" w16cid:durableId="526524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B0"/>
    <w:rsid w:val="004F7B88"/>
    <w:rsid w:val="00550EF8"/>
    <w:rsid w:val="005B69C7"/>
    <w:rsid w:val="0067691A"/>
    <w:rsid w:val="00722D2D"/>
    <w:rsid w:val="00840205"/>
    <w:rsid w:val="0087207A"/>
    <w:rsid w:val="009255F9"/>
    <w:rsid w:val="00A61CD5"/>
    <w:rsid w:val="00B97AB7"/>
    <w:rsid w:val="00BF439D"/>
    <w:rsid w:val="00C501B0"/>
    <w:rsid w:val="00CD298E"/>
    <w:rsid w:val="00DB6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6E68"/>
  <w15:chartTrackingRefBased/>
  <w15:docId w15:val="{E20FE9B7-2DE3-4BEC-B1E5-D2F7D676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1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501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01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01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01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0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1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501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01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01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01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0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1B0"/>
    <w:rPr>
      <w:rFonts w:eastAsiaTheme="majorEastAsia" w:cstheme="majorBidi"/>
      <w:color w:val="272727" w:themeColor="text1" w:themeTint="D8"/>
    </w:rPr>
  </w:style>
  <w:style w:type="paragraph" w:styleId="Title">
    <w:name w:val="Title"/>
    <w:basedOn w:val="Normal"/>
    <w:next w:val="Normal"/>
    <w:link w:val="TitleChar"/>
    <w:uiPriority w:val="10"/>
    <w:qFormat/>
    <w:rsid w:val="00C50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1B0"/>
    <w:pPr>
      <w:spacing w:before="160"/>
      <w:jc w:val="center"/>
    </w:pPr>
    <w:rPr>
      <w:i/>
      <w:iCs/>
      <w:color w:val="404040" w:themeColor="text1" w:themeTint="BF"/>
    </w:rPr>
  </w:style>
  <w:style w:type="character" w:customStyle="1" w:styleId="QuoteChar">
    <w:name w:val="Quote Char"/>
    <w:basedOn w:val="DefaultParagraphFont"/>
    <w:link w:val="Quote"/>
    <w:uiPriority w:val="29"/>
    <w:rsid w:val="00C501B0"/>
    <w:rPr>
      <w:i/>
      <w:iCs/>
      <w:color w:val="404040" w:themeColor="text1" w:themeTint="BF"/>
    </w:rPr>
  </w:style>
  <w:style w:type="paragraph" w:styleId="ListParagraph">
    <w:name w:val="List Paragraph"/>
    <w:basedOn w:val="Normal"/>
    <w:uiPriority w:val="34"/>
    <w:qFormat/>
    <w:rsid w:val="00C501B0"/>
    <w:pPr>
      <w:ind w:left="720"/>
      <w:contextualSpacing/>
    </w:pPr>
  </w:style>
  <w:style w:type="character" w:styleId="IntenseEmphasis">
    <w:name w:val="Intense Emphasis"/>
    <w:basedOn w:val="DefaultParagraphFont"/>
    <w:uiPriority w:val="21"/>
    <w:qFormat/>
    <w:rsid w:val="00C501B0"/>
    <w:rPr>
      <w:i/>
      <w:iCs/>
      <w:color w:val="2F5496" w:themeColor="accent1" w:themeShade="BF"/>
    </w:rPr>
  </w:style>
  <w:style w:type="paragraph" w:styleId="IntenseQuote">
    <w:name w:val="Intense Quote"/>
    <w:basedOn w:val="Normal"/>
    <w:next w:val="Normal"/>
    <w:link w:val="IntenseQuoteChar"/>
    <w:uiPriority w:val="30"/>
    <w:qFormat/>
    <w:rsid w:val="00C501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01B0"/>
    <w:rPr>
      <w:i/>
      <w:iCs/>
      <w:color w:val="2F5496" w:themeColor="accent1" w:themeShade="BF"/>
    </w:rPr>
  </w:style>
  <w:style w:type="character" w:styleId="IntenseReference">
    <w:name w:val="Intense Reference"/>
    <w:basedOn w:val="DefaultParagraphFont"/>
    <w:uiPriority w:val="32"/>
    <w:qFormat/>
    <w:rsid w:val="00C501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 Mehta</dc:creator>
  <cp:keywords/>
  <dc:description/>
  <cp:lastModifiedBy>Rishit Mehta</cp:lastModifiedBy>
  <cp:revision>9</cp:revision>
  <dcterms:created xsi:type="dcterms:W3CDTF">2025-09-17T07:51:00Z</dcterms:created>
  <dcterms:modified xsi:type="dcterms:W3CDTF">2025-09-17T08:32:00Z</dcterms:modified>
</cp:coreProperties>
</file>