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01" w14:textId="10000002" w:rsidR="00006664" w:rsidRPr="00006664" w:rsidRDefault="00006664" w:rsidP="0038669D">
      <w:pPr>
        <w:spacing w:before="16" w:after="16" w:line="240" w:lineRule="auto"/>
        <w:jc w:val="center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:lang w:eastAsia="en-GB"/>
          <w14:ligatures w14:val="none"/>
        </w:rPr>
        <w:t>RISHITHA KESHAVAREDDY</w:t>
      </w: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br/>
      </w:r>
      <w:r>
        <w:rPr>
          <w:rFonts w:ascii="Century Gothic" w:eastAsia="Times New Roman" w:hAnsi="Century Gothic" w:cs="Times New Roman"/>
          <w:kern w:val="0"/>
          <w:sz w:val="20"/>
          <w:szCs w:val="20"/>
          <w:lang w:eastAsia="en-GB"/>
          <w14:ligatures w14:val="none"/>
        </w:rPr>
        <w:t xml:space="preserve">rishithareddy1108@gmail.com | +1 913-257-7944</w:t>
      </w: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br/>
      </w:r>
      <w:r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n-GB"/>
          <w14:ligatures w14:val="none"/>
        </w:rPr>
        <w:t>AI/ML Engineer</w:t>
      </w:r>
    </w:p>
    <w:p w14:paraId="10000003" w14:textId="10000004" w:rsidR="00006664" w:rsidRPr="00006664" w:rsidRDefault="00000000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sz w:val="15"/>
          <w:szCs w:val="15"/>
          <w:lang w:eastAsia="en-GB"/>
          <w14:ligatures w14:val="none"/>
        </w:rPr>
        <w:pict w14:anchorId="10000005">
          <v:rect id="_x0000_i1000" alt="" style="width:451.3pt;height:.05pt;mso-width-percent:0;mso-height-percent:0;mso-width-percent:0;mso-height-percent:0" o:hralign="center" o:hrstd="t" o:hr="t" fillcolor="#a0a0a0" stroked="f"/>
        </w:pict>
      </w:r>
    </w:p>
    <w:p w14:paraId="10000007" w14:textId="10000008" w:rsidR="00006664" w:rsidRDefault="00006664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PROFESSIONAL SUMMARY</w:t>
      </w:r>
    </w:p>
    <w:p w14:paraId="10000009" w14:textId="1000000A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Delivered automated, accurate service interactions in financial and insurance domains as measured by reduced cost and error rates, by designing and deploying generative AI models using LLMs over 4+ years of experience.</w:t>
      </w:r>
    </w:p>
    <w:p w14:paraId="1000000B" w14:textId="1000000C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Improved financial risk-scoring throughput and retraining cycle time as measured by reduced operational hours, by building ML pipelines with TensorFlow, Scikit-learn, and SageMaker.</w:t>
      </w:r>
    </w:p>
    <w:p w14:paraId="1000000D" w14:textId="1000000E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enterprise search and document classification across millions of financial records as measured by faster retrieval and sentiment extraction, by developing NLP solutions using PyTorch and HuggingFace.</w:t>
      </w:r>
    </w:p>
    <w:p w14:paraId="1000000F" w14:textId="10000010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Increased transactional personalization and user engagement across financial platforms as measured by higher engagement rates, by engineering LSTM and CNN-based behavioral prediction and recommendation models.</w:t>
      </w:r>
    </w:p>
    <w:p w14:paraId="10000011" w14:textId="10000012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Improved data readiness for downstream analytics as measured by consistent structured and unstructured data ingestion, by building scalable pipelines with SQL and Pandas across APIs, relational databases, and cloud storage.</w:t>
      </w:r>
    </w:p>
    <w:p w14:paraId="10000013" w14:textId="10000014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Ensured reproducible, secure ML deployments across production environments as measured by consistent release quality, by automating model deployment with Docker, CI/CD pipelines, and GitHub version control.</w:t>
      </w:r>
    </w:p>
    <w:p w14:paraId="10000017" w14:textId="10000018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Increased forecasting accuracy and reduced variance in churn and capacity planning as measured by improved budget-planning precision, by building ARIMA, Prophet, and GRU-based forecasting models.</w:t>
      </w:r>
    </w:p>
    <w:p w14:paraId="1000001D" w14:textId="1000001E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adaptive, data-driven pricing and operational decisions as measured by improved simulation outcomes, by developing reinforcement learning models for pricing optimization.</w:t>
      </w:r>
    </w:p>
    <w:p w14:paraId="1000001F" w14:textId="10000020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Maintained strong governance and business alignment across the AI project lifecycle as measured by consistent performance monitoring, by overseeing end-to-end delivery from data ingestion to model deployment.</w:t>
      </w:r>
    </w:p>
    <w:p w14:paraId="10000021" w14:textId="10000022" w:rsidR="00006664" w:rsidRPr="00006664" w:rsidRDefault="00000000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sz w:val="15"/>
          <w:szCs w:val="15"/>
          <w:lang w:eastAsia="en-GB"/>
          <w14:ligatures w14:val="none"/>
        </w:rPr>
        <w:pict w14:anchorId="10000023">
          <v:rect id="_x0000_i1000" alt="" style="width:451.3pt;height:.05pt;mso-width-percent:0;mso-height-percent:0;mso-width-percent:0;mso-height-percent:0" o:hralign="center" o:hrstd="t" o:hr="t" fillcolor="#a0a0a0" stroked="f"/>
        </w:pict>
      </w:r>
    </w:p>
    <w:p w14:paraId="10000025" w14:textId="10000026" w:rsidR="00006664" w:rsidRDefault="00006664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TECHNICAL SKILLS</w:t>
      </w:r>
    </w:p>
    <w:p w14:paraId="10000027" w14:textId="10000028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Programming Languages:</w:t>
      </w:r>
      <w:r>
        <w:rPr>
          <w:rFonts w:ascii="Century Gothic" w:hAnsi="Century Gothic"/>
          <w:sz w:val="15"/>
          <w:szCs w:val="15"/>
        </w:rPr>
        <w:t xml:space="preserve"> Python, R, SQL, Java, JavaScript, Go</w:t>
      </w:r>
    </w:p>
    <w:p w14:paraId="10000029" w14:textId="1000002A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ML &amp; Deep Learning:</w:t>
      </w:r>
      <w:r>
        <w:rPr>
          <w:rFonts w:ascii="Century Gothic" w:hAnsi="Century Gothic"/>
          <w:sz w:val="15"/>
          <w:szCs w:val="15"/>
        </w:rPr>
        <w:t xml:space="preserve"> TensorFlow, PyTorch, Scikit-learn, HuggingFace, Keras, LangChain, JAX, XGBoost, LightGBM</w:t>
      </w:r>
    </w:p>
    <w:p w14:paraId="1000002B" w14:textId="1000002C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MLOps Tools:</w:t>
      </w:r>
      <w:r>
        <w:rPr>
          <w:rFonts w:ascii="Century Gothic" w:hAnsi="Century Gothic"/>
          <w:sz w:val="15"/>
          <w:szCs w:val="15"/>
        </w:rPr>
        <w:t xml:space="preserve"> MLflow, Weights &amp; Biases, DVC, KServe, Azure ML, Triton Inference Server, TorchServe, Kubeflow, Ray, LLMOps, Model Governance, Data Drift Monitoring</w:t>
      </w:r>
    </w:p>
    <w:p w14:paraId="1000002D" w14:textId="1000002E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Generative AI Tools:</w:t>
      </w:r>
      <w:r>
        <w:rPr>
          <w:rFonts w:ascii="Century Gothic" w:hAnsi="Century Gothic"/>
          <w:sz w:val="15"/>
          <w:szCs w:val="15"/>
        </w:rPr>
        <w:t xml:space="preserve"> OpenAI API, Anthropic Claude, Cohere, Hugging Face Hub, Stability AI, DreamBooth, LlamaIndex, GPT-4o, Gemini</w:t>
      </w:r>
    </w:p>
    <w:p w14:paraId="1000002F" w14:textId="10000030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Prompt Engineering:</w:t>
      </w:r>
      <w:r>
        <w:rPr>
          <w:rFonts w:ascii="Century Gothic" w:hAnsi="Century Gothic"/>
          <w:sz w:val="15"/>
          <w:szCs w:val="15"/>
        </w:rPr>
        <w:t xml:space="preserve"> Few-shot, Zero-shot, Chain-of-Thought, LangSmith, Function Calling, System Prompt Design, Prompt Chaining, ReAct Framework</w:t>
      </w:r>
    </w:p>
    <w:p w14:paraId="10000031" w14:textId="10000032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NLP &amp; LLMs:</w:t>
      </w:r>
      <w:r>
        <w:rPr>
          <w:rFonts w:ascii="Century Gothic" w:hAnsi="Century Gothic"/>
          <w:sz w:val="15"/>
          <w:szCs w:val="15"/>
        </w:rPr>
        <w:t xml:space="preserve"> Text generation, Summarization, Q&amp;A, Sentiment Analysis, RAG, Named Entity Recognition, Speech Recognition, Fine-tuning, LoRA, QLoRA, PEFT</w:t>
      </w:r>
    </w:p>
    <w:p w14:paraId="10000033" w14:textId="10000034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Vector Databases:</w:t>
      </w:r>
      <w:r>
        <w:rPr>
          <w:rFonts w:ascii="Century Gothic" w:hAnsi="Century Gothic"/>
          <w:sz w:val="15"/>
          <w:szCs w:val="15"/>
        </w:rPr>
        <w:t xml:space="preserve"> FAISS, Pinecone, Weaviate, Chroma DB, Milvus, pgvector, Elasticsearch</w:t>
      </w:r>
    </w:p>
    <w:p w14:paraId="10000035" w14:textId="10000036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Visualization &amp; UI:</w:t>
      </w:r>
      <w:r>
        <w:rPr>
          <w:rFonts w:ascii="Century Gothic" w:hAnsi="Century Gothic"/>
          <w:sz w:val="15"/>
          <w:szCs w:val="15"/>
        </w:rPr>
        <w:t xml:space="preserve"> Gradio, Streamlit, Dash, Jupyter Notebooks</w:t>
      </w:r>
    </w:p>
    <w:p w14:paraId="10000037" w14:textId="10000038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Data Engineering:</w:t>
      </w:r>
      <w:r>
        <w:rPr>
          <w:rFonts w:ascii="Century Gothic" w:hAnsi="Century Gothic"/>
          <w:sz w:val="15"/>
          <w:szCs w:val="15"/>
        </w:rPr>
        <w:t xml:space="preserve"> Apache Airflow, Kafka, Spark, Snowflake, Apache NiFi, Apache Flink, dbt, Delta Lake, Databricks</w:t>
      </w:r>
    </w:p>
    <w:p w14:paraId="10000039" w14:textId="1000003A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Model Deployment:</w:t>
      </w:r>
      <w:r>
        <w:rPr>
          <w:rFonts w:ascii="Century Gothic" w:hAnsi="Century Gothic"/>
          <w:sz w:val="15"/>
          <w:szCs w:val="15"/>
        </w:rPr>
        <w:t xml:space="preserve"> Docker, Kubernetes, FastAPI, Flask, TensorRT, ONNX, gRPC, Model Quantization, Knowledge Distillation, Inference Optimization, GPU Acceleration</w:t>
      </w:r>
    </w:p>
    <w:p w14:paraId="1000003B" w14:textId="1000003C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Cloud Platforms:</w:t>
      </w:r>
      <w:r>
        <w:rPr>
          <w:rFonts w:ascii="Century Gothic" w:hAnsi="Century Gothic"/>
          <w:sz w:val="15"/>
          <w:szCs w:val="15"/>
        </w:rPr>
        <w:t xml:space="preserve"> AWS (S3, SageMaker, Lambda, Bedrock, EC2, EKS), Azure (ML Studio, Azure OpenAI, AKS), GCP (Vertex AI, BigQuery ML, Cloud Functions)</w:t>
      </w:r>
    </w:p>
    <w:p w14:paraId="1000003D" w14:textId="1000003E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Model Architectures:</w:t>
      </w:r>
      <w:r>
        <w:rPr>
          <w:rFonts w:ascii="Century Gothic" w:hAnsi="Century Gothic"/>
          <w:sz w:val="15"/>
          <w:szCs w:val="15"/>
        </w:rPr>
        <w:t xml:space="preserve"> GPT, BERT, T5, CLIP, Diffusion Models, GANs, VAEs, LLaMA, Mistral, Multimodal Models, GPT-4o Vision</w:t>
      </w:r>
    </w:p>
    <w:p w14:paraId="1000003F" w14:textId="10000040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Data Science Tools:</w:t>
      </w:r>
      <w:r>
        <w:rPr>
          <w:rFonts w:ascii="Century Gothic" w:hAnsi="Century Gothic"/>
          <w:sz w:val="15"/>
          <w:szCs w:val="15"/>
        </w:rPr>
        <w:t xml:space="preserve"> Pandas, NumPy, Matplotlib</w:t>
      </w:r>
    </w:p>
    <w:p w14:paraId="10000041" w14:textId="10000042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Databases:</w:t>
      </w:r>
      <w:r>
        <w:rPr>
          <w:rFonts w:ascii="Century Gothic" w:hAnsi="Century Gothic"/>
          <w:sz w:val="15"/>
          <w:szCs w:val="15"/>
        </w:rPr>
        <w:t xml:space="preserve"> MySQL, MongoDB, PostgreSQL, Redshift, Cassandra</w:t>
      </w:r>
    </w:p>
    <w:p w14:paraId="10000043" w14:textId="10000044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DevOps &amp; CI/CD:</w:t>
      </w:r>
      <w:r>
        <w:rPr>
          <w:rFonts w:ascii="Century Gothic" w:hAnsi="Century Gothic"/>
          <w:sz w:val="15"/>
          <w:szCs w:val="15"/>
        </w:rPr>
        <w:t xml:space="preserve"> Git, GitHub Actions, Terraform, Helm, Jenkins, CI/CD, AWS CodePipeline</w:t>
      </w:r>
    </w:p>
    <w:p w14:paraId="10000045" w14:textId="10000046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Monitoring &amp; Logging:</w:t>
      </w:r>
      <w:r>
        <w:rPr>
          <w:rFonts w:ascii="Century Gothic" w:hAnsi="Century Gothic"/>
          <w:sz w:val="15"/>
          <w:szCs w:val="15"/>
        </w:rPr>
        <w:t xml:space="preserve"> Prometheus, Grafana, ELK Stack, Open Telemetry, CloudWatch, DataDog</w:t>
      </w:r>
    </w:p>
    <w:p w14:paraId="10000047" w14:textId="10000048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Security &amp; Ethics:</w:t>
      </w:r>
      <w:r>
        <w:rPr>
          <w:rFonts w:ascii="Century Gothic" w:hAnsi="Century Gothic"/>
          <w:sz w:val="15"/>
          <w:szCs w:val="15"/>
        </w:rPr>
        <w:t xml:space="preserve"> Differential Privacy, Federated Learning, Responsible AI, SHAP, LIME, Fairlearn, RLHF, AI Safety, Bias Detection, Model Explainability, PII Redaction, OAuth2, GDPR, SOC2</w:t>
      </w:r>
    </w:p>
    <w:p w14:paraId="10000049" w14:textId="1000004A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AI Frameworks &amp; Agentic Systems:</w:t>
      </w:r>
      <w:r>
        <w:rPr>
          <w:rFonts w:ascii="Century Gothic" w:hAnsi="Century Gothic"/>
          <w:sz w:val="15"/>
          <w:szCs w:val="15"/>
        </w:rPr>
        <w:t xml:space="preserve"> LangGraph, AutoGen, CrewAI, Model Context Protocol (MCP), Multi-Agent Systems, Agentic AI, Tool Use, Conversational AI</w:t>
      </w:r>
    </w:p>
    <w:p w14:paraId="1000004B" w14:textId="1000004C" w:rsidR="00006664" w:rsidRPr="0038669D" w:rsidRDefault="00006664" w:rsidP="0009618B">
      <w:pPr>
        <w:pStyle w:val="NormalWeb"/>
        <w:spacing w:before="24" w:beforeAutospacing="0" w:after="24" w:afterAutospacing="0"/>
        <w:jc w:val="both"/>
        <w:rPr>
          <w:rFonts w:ascii="Century Gothic" w:hAnsi="Century Gothic"/>
          <w:sz w:val="15"/>
          <w:szCs w:val="15"/>
        </w:rPr>
      </w:pPr>
      <w:r>
        <w:rPr>
          <w:rStyle w:val="Strong"/>
          <w:rFonts w:ascii="Century Gothic" w:eastAsiaTheme="majorEastAsia" w:hAnsi="Century Gothic"/>
          <w:sz w:val="15"/>
          <w:szCs w:val="15"/>
        </w:rPr>
        <w:t>Statistical &amp; Applied Mathematics:</w:t>
      </w:r>
      <w:r>
        <w:rPr>
          <w:rFonts w:ascii="Century Gothic" w:hAnsi="Century Gothic"/>
          <w:sz w:val="15"/>
          <w:szCs w:val="15"/>
        </w:rPr>
        <w:t xml:space="preserve"> Optimization Algorithms, Bayesian Methods, Time Series Forecasting, Statistical Modeling, Regression, Classification, Clustering, A/B Testing, Predictive Analytics</w:t>
      </w:r>
    </w:p>
    <w:p w14:paraId="1000004D" w14:textId="1000004E" w:rsidR="00006664" w:rsidRPr="00006664" w:rsidRDefault="00000000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sz w:val="15"/>
          <w:szCs w:val="15"/>
          <w:lang w:eastAsia="en-GB"/>
          <w14:ligatures w14:val="none"/>
        </w:rPr>
        <w:pict w14:anchorId="1000004F">
          <v:rect id="_x0000_i1000" alt="" style="width:451.3pt;height:.05pt;mso-width-percent:0;mso-height-percent:0;mso-width-percent:0;mso-height-percent:0" o:hralign="center" o:hrstd="t" o:hr="t" fillcolor="#a0a0a0" stroked="f"/>
        </w:pict>
      </w:r>
    </w:p>
    <w:p w14:paraId="10000051" w14:textId="10000052" w:rsidR="00006664" w:rsidRDefault="00006664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PROFESSIONAL EXPERIENCE</w:t>
      </w:r>
    </w:p>
    <w:p w14:paraId="10000053" w14:textId="10000054" w:rsidR="0038669D" w:rsidRPr="00006664" w:rsidRDefault="0038669D" w:rsidP="0038669D">
      <w:pPr>
        <w:tabs>
          <w:tab w:val="right" w:pos="9350"/>
        </w:tabs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Purdue University</w:t>
        <w:tab/>
        <w:t>Oct 2025 - Present</w:t>
      </w:r>
    </w:p>
    <w:p w14:paraId="10000055" w14:textId="10000056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West Lafayette, IN</w:t>
      </w:r>
    </w:p>
    <w:p w14:paraId="10000057" w14:textId="10000058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Senior AI &amp; Automation Engineer</w:t>
      </w:r>
    </w:p>
    <w:p w14:paraId="10000059" w14:textId="1000005A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Reduced manual research-data processing workload by 52% as measured by weekly faculty workflow audits, by architecting multi-agent automation pipelines with LangGraph, AutoGen, and Model Context Protocol (MCP) across university research computing systems.</w:t>
      </w:r>
    </w:p>
    <w:p w14:paraId="1000005B" w14:textId="1000005C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Improved grant-document retrieval accuracy by 47% as measured by reduced hallucination rates in QA evaluations, by building RAG pipelines with LlamaIndex, LangChain, and Pinecone over 2M+ academic and administrative records.</w:t>
      </w:r>
    </w:p>
    <w:p w14:paraId="1000005D" w14:textId="1000005E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Achieved 91% prediction accuracy on student enrollment and resource-demand forecasting models as measured by validation-set RMSE, by fine-tuning LLaMA 3 and Mistral with LoRA and QLoRA on historical institutional datasets.</w:t>
      </w:r>
    </w:p>
    <w:p w14:paraId="1000005F" w14:textId="10000060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Cut equipment-fault detection time by 38% as measured by mean-time-to-detection logs, by designing multimodal AI pipelines combining CLIP and GPT-4o Vision to analyze lab sensor telemetry and imaging data across research facilities.</w:t>
      </w:r>
    </w:p>
    <w:p w14:paraId="10000061" w14:textId="10000062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Cut model-rollback incidents by 65% as measured by production-incident tracking, by implementing MLOps governance with MLflow, Weights &amp; Biases, and Triton Inference Server on AWS SageMaker, including automated drift detection and A/B testing.</w:t>
      </w:r>
    </w:p>
    <w:p w14:paraId="10000063" w14:textId="10000064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Accelerated research-computing dataset processing by 45% as measured by daily pipeline throughput, by engineering real-time anomaly detection systems with PyTorch, Apache Kafka, and Apache Spark across distributed clusters processing 40TB+ of sensor data.</w:t>
      </w:r>
    </w:p>
    <w:p w14:paraId="10000065" w14:textId="10000066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Ensured 100% compliance with institutional responsible-AI review standards as measured by quarterly audit pass rates, by applying SHAP, LIME, and Fairlearn to deliver explainable AI dashboards for grant-allocation and admissions-support models.</w:t>
      </w:r>
    </w:p>
    <w:p w14:paraId="10000067" w14:textId="10000068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Lowered inference latency by 49% and cloud compute spend by 30% as measured by monthly billing and APM traces, by containerizing AI inference services with Docker, Kubernetes, ONNX, and TensorRT behind FastAPI microservices with model quantization.</w:t>
      </w:r>
    </w:p>
    <w:p w14:paraId="10000069" w14:textId="1000006A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Increased automated-task adoption across five academic departments by 60% as measured by internal usage analytics, by deploying conversational AI assistants with Anthropic Claude, OpenAI API, and function calling for scheduling, advising, and IT-support automation.</w:t>
      </w:r>
    </w:p>
    <w:p w14:paraId="1000006B" w14:textId="1000006C" w:rsidR="0038669D" w:rsidRPr="00006664" w:rsidRDefault="0038669D" w:rsidP="0038669D">
      <w:pPr>
        <w:tabs>
          <w:tab w:val="right" w:pos="9350"/>
        </w:tabs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Commerce Bank</w:t>
        <w:tab/>
        <w:t>Oct 2024 - Present</w:t>
      </w:r>
    </w:p>
    <w:p w14:paraId="1000006D" w14:textId="1000006E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Overland Park, KS</w:t>
      </w:r>
    </w:p>
    <w:p w14:paraId="1000006F" w14:textId="10000070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Generative AI Engineer</w:t>
      </w:r>
    </w:p>
    <w:p w14:paraId="10000071" w14:textId="10000072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Saved 1,200+ service hours monthly as measured by reduced manual ticket handling, by designing and deploying LLMs to automate customer support workflows across core banking operations.</w:t>
      </w:r>
    </w:p>
    <w:p w14:paraId="10000073" w14:textId="10000074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Minimized hallucinations and improved context retrieval accuracy as measured by higher-quality AI responses, by developing RAG pipelines with LangChain and Pinecone across banking-specific knowledge systems.</w:t>
      </w:r>
    </w:p>
    <w:p w14:paraId="10000075" w14:textId="10000076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Increased customer satisfaction scores by 15% as measured by post-interaction survey results, by building intelligent chatbots with memory and learning capabilities to reduce handling time.</w:t>
      </w:r>
    </w:p>
    <w:p w14:paraId="10000077" w14:textId="10000078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Assessed enterprise readiness of open-source LLaMA and Mistral models as measured by performance and scalability benchmarks, by fine-tuning them using LoRA and PEFT for banking environments.</w:t>
      </w:r>
    </w:p>
    <w:p w14:paraId="10000079" w14:textId="1000007A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Maintained regulatory compliance across generative AI services as measured by successful usage audits, by partnering with IT security to enforce OAuth2 authentication and usage auditing.</w:t>
      </w:r>
    </w:p>
    <w:p w14:paraId="1000007B" w14:textId="1000007C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Cut manual email-queue workload by 40% and boosted SLA adherence as measured by faster response turnaround, by deploying HuggingFace summarization models to automate classification and response generation.</w:t>
      </w:r>
    </w:p>
    <w:p w14:paraId="1000007D" w14:textId="1000007E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Improved visibility into model latency, token usage, and performance drift as measured by real-time dashboard metrics, by building monitoring dashboards using Prometheus and Grafana.</w:t>
      </w:r>
    </w:p>
    <w:p w14:paraId="1000007F" w14:textId="10000080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Reduced model latency by 42% as measured by inference response-time benchmarks, by implementing serverless, event-driven pipelines with AWS Lambda, SageMaker, and Terraform integrated with GitHub Actions CI/CD.</w:t>
      </w:r>
    </w:p>
    <w:p w14:paraId="10000081" w14:textId="10000082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Delivered rapid, context-rich search responses from internal knowledge bases as measured by reduced query resolution time, by engineering semantic search with FAISS and sentence-transformers.</w:t>
      </w:r>
    </w:p>
    <w:p w14:paraId="10000083" w14:textId="10000084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Supported faster onboarding, audits, and troubleshooting as measured by improved team ramp-up time, by documenting technical architecture and CI/CD steps using GitHub and Confluence.</w:t>
      </w:r>
    </w:p>
    <w:p w14:paraId="10000085" w14:textId="10000086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robust, scalable downstream access to enterprise AI services as measured by stable endpoint uptime, by building secure FastAPI model-serving endpoints with OAuth2 authentication and rate limiting.</w:t>
      </w:r>
    </w:p>
    <w:p w14:paraId="10000087" w14:textId="10000088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Reduced API latency and overall compute cost as measured by lower per-request processing time, by implementing prompt engineering, token caching, and prefix tuning strategies.</w:t>
      </w:r>
    </w:p>
    <w:p w14:paraId="10000089" w14:textId="1000008A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Evaluated cost efficiency and compliance fit for large-scale banking AI initiatives as measured by latency and throughput benchmarks, by conducting performance benchmarks on Vertex AI for hybrid LLM deployment.</w:t>
      </w:r>
    </w:p>
    <w:p w14:paraId="1000008B" w14:textId="1000008C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precise escalation handling and contextual Q&amp;A as measured by improved support-assistant accuracy, by collaborating with product teams on structured dialogue flows and intent taxonomies.</w:t>
      </w:r>
    </w:p>
    <w:p w14:paraId="1000008D" w14:textId="1000008E" w:rsidR="0038669D" w:rsidRPr="00006664" w:rsidRDefault="0038669D" w:rsidP="0038669D">
      <w:pPr>
        <w:tabs>
          <w:tab w:val="right" w:pos="9350"/>
        </w:tabs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Liberty Mutual Insurance</w:t>
        <w:tab/>
        <w:t>Oct 2023 - Sep 2024</w:t>
      </w:r>
    </w:p>
    <w:p w14:paraId="1000008F" w14:textId="10000090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Boston, MA</w:t>
      </w:r>
    </w:p>
    <w:p w14:paraId="10000091" w14:textId="10000092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Machine Learning Engineer</w:t>
      </w:r>
    </w:p>
    <w:p w14:paraId="10000093" w14:textId="10000094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Improved fraud identification rates by 19% as measured by claim-audit accuracy, by developing fraud detection and claim forecasting models using XGBoost and LightGBM.</w:t>
      </w:r>
    </w:p>
    <w:p w14:paraId="10000095" w14:textId="10000096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Achieved low-latency inference across internal and customer-facing applications as measured by reduced response time, by deploying real-time and batch ML pipelines using AWS SageMaker, Lambda, and Step Functions.</w:t>
      </w:r>
    </w:p>
    <w:p w14:paraId="10000097" w14:textId="10000098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Streamlined model training and deployment as measured by faster release cycles, by creating automated CI/CD pipelines with GitHub Actions and AWS CodePipeline.</w:t>
      </w:r>
    </w:p>
    <w:p w14:paraId="10000099" w14:textId="1000009A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Promoted model reuse and version control across projects as measured by reduced duplicate feature work, by building feature engineering workflows with Pandas and Featuretools.</w:t>
      </w:r>
    </w:p>
    <w:p w14:paraId="1000009B" w14:textId="1000009C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Reduced model experimentation cycles by over 60% as measured by faster convergence rates, by automating hyperparameter tuning using SageMaker's Bayesian optimization.</w:t>
      </w:r>
    </w:p>
    <w:p w14:paraId="1000009D" w14:textId="1000009E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Ensured reliable, clean data for downstream ML workflows as measured by reduced data-quality incidents, by partnering with data engineers to ingest and transform datasets from PostgreSQL, Redshift, and S3.</w:t>
      </w:r>
    </w:p>
    <w:p w14:paraId="1000009F" w14:textId="100000A0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Achieved GDPR and SOC2 compliance for enterprise AI applications as measured by passed security audits, by building automated LLM testing frameworks and enforcing OAuth2 policies with InfoSec.</w:t>
      </w:r>
    </w:p>
    <w:p w14:paraId="100000A1" w14:textId="100000A2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Kept models updated with the latest data trends as measured by consistent performance thresholds, by scheduling automated retraining pipelines using AWS EventBridge and S3 triggers.</w:t>
      </w:r>
    </w:p>
    <w:p w14:paraId="100000A3" w14:textId="100000A4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scalable model inference and batch deployment as measured by consistent version tracking, by building modular Python packages and internal APIs using FastAPI and Docker.</w:t>
      </w:r>
    </w:p>
    <w:p w14:paraId="100000A5" w14:textId="100000A6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Aligned model outcomes with operational and financial goals as measured by stakeholder-approved use cases, by collaborating with product managers and actuaries to translate business requirements into ML use cases.</w:t>
      </w:r>
    </w:p>
    <w:p w14:paraId="100000A7" w14:textId="100000A8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proactive monitoring and faster troubleshooting as measured by reduced incident response time, by integrating dashboards with CloudWatch and DataDog to visualize latency, AUC, precision, and drift.</w:t>
      </w:r>
    </w:p>
    <w:p w14:paraId="100000A9" w14:textId="100000AA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Promoted adoption across business units as measured by improved stakeholder understanding, by delivering Streamlit and Jupyter dashboards to present model predictions to non-technical users.</w:t>
      </w:r>
    </w:p>
    <w:p w14:paraId="100000AB" w14:textId="100000AC" w:rsidR="0038669D" w:rsidRPr="00006664" w:rsidRDefault="0038669D" w:rsidP="0038669D">
      <w:pPr>
        <w:tabs>
          <w:tab w:val="right" w:pos="9350"/>
        </w:tabs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Wells Fargo</w:t>
        <w:tab/>
        <w:t>May 2022 - Jun 2023</w:t>
      </w:r>
    </w:p>
    <w:p w14:paraId="100000AD" w14:textId="100000AE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San Francisco, CA</w:t>
      </w:r>
    </w:p>
    <w:p w14:paraId="100000AF" w14:textId="100000B0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Data Scientist</w:t>
      </w:r>
    </w:p>
    <w:p w14:paraId="100000B1" w14:textId="100000B2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Reduced false positives in fraud detection as measured by improved model precision at scale, by analyzing millions of transaction records using Python and SQL to identify suspicious behavior patterns.</w:t>
      </w:r>
    </w:p>
    <w:p w14:paraId="100000B3" w14:textId="100000B4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Improved fraud flagging sensitivity in banking and retail operations as measured by higher anomaly-detection accuracy, by building unsupervised models using Isolation Forest and DBSCAN.</w:t>
      </w:r>
    </w:p>
    <w:p w14:paraId="100000B5" w14:textId="100000B6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faster stakeholder action on risk and fraud alerts as measured by real-time visualized data, by developing Tableau and Power BI dashboards to monitor model accuracy and fraud alerts.</w:t>
      </w:r>
    </w:p>
    <w:p w14:paraId="100000B7" w14:textId="100000B8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consistent daily batch inference delivery as measured by minimal latency, by integrating ML models into automated reporting pipelines using Airflow and Python scripts.</w:t>
      </w:r>
    </w:p>
    <w:p w14:paraId="100000B9" w14:textId="100000BA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Maintained privacy compliance during model training and deployment as measured by passed governance reviews, by ensuring PII redaction and encryption protocols with data governance teams.</w:t>
      </w:r>
    </w:p>
    <w:p w14:paraId="100000BB" w14:textId="100000BC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Improved fraud detection accuracy from 82% to 90% as measured by validation testing, by creating ensemble classification models for fraud prevention workflows.</w:t>
      </w:r>
    </w:p>
    <w:p w14:paraId="100000BD" w14:textId="100000BE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Converted raw logs into structured formats for downstream modeling as measured by improved reporting reliability, by engineering data transformation pipelines using Apache Spark and Databricks.</w:t>
      </w:r>
    </w:p>
    <w:p w14:paraId="100000BF" w14:textId="100000C0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Improved ATM resource planning and customer availability as measured by more accurate cashout pattern predictions, by deploying ARIMA and LSTM time-series forecasting models.</w:t>
      </w:r>
    </w:p>
    <w:p w14:paraId="100000C1" w14:textId="100000C2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Reduced ETL runtimes while ensuring data quality as measured by faster preprocessing throughput, by building scalable workflows using Dask for high-volume financial data.</w:t>
      </w:r>
    </w:p>
    <w:p w14:paraId="100000C3" w14:textId="100000C4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Supported transparency in machine learning-driven decisions as measured by interpretable audit logs, by conducting statistical analysis and A/B testing on fraud controls with compliance teams.</w:t>
      </w:r>
    </w:p>
    <w:p w14:paraId="100000C5" w14:textId="100000C6" w:rsidR="0038669D" w:rsidRPr="00006664" w:rsidRDefault="0038669D" w:rsidP="0038669D">
      <w:pPr>
        <w:tabs>
          <w:tab w:val="right" w:pos="9350"/>
        </w:tabs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Merck Group</w:t>
        <w:tab/>
        <w:t>August 2020 - April 2022</w:t>
      </w:r>
    </w:p>
    <w:p w14:paraId="100000C7" w14:textId="100000C8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Rahway, NJ</w:t>
      </w:r>
    </w:p>
    <w:p w14:paraId="100000C9" w14:textId="100000CA" w:rsidR="0038669D" w:rsidRPr="00006664" w:rsidRDefault="0038669D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Data Scientist</w:t>
      </w:r>
    </w:p>
    <w:p w14:paraId="100000CB" w14:textId="100000CC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Improved cross-functional understanding of clinical research KPIs as measured by stakeholder feedback, by creating dashboards and visualizations using Tableau, Power BI, and Matplotlib.</w:t>
      </w:r>
    </w:p>
    <w:p w14:paraId="100000CD" w14:textId="100000CE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Enhanced decision-making in therapeutic areas and pharmacovigilance as measured by improved predictive model accuracy, by processing multi-terabyte clinical trial datasets using Apache Spark and Hadoop.</w:t>
      </w:r>
    </w:p>
    <w:p w14:paraId="100000CF" w14:textId="100000D0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Supported production-ready analytics in drug safety studies as measured by stable deployment performance, by deploying scalable ML models using Flask, Docker, and Kubernetes monitored with MLflow.</w:t>
      </w:r>
    </w:p>
    <w:p w14:paraId="100000D1" w14:textId="100000D2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Reduced deployment times and ensured high model reliability as measured by consistent version control, by automating CI/CD pipelines for ML applications with Jenkins and Git.</w:t>
      </w:r>
    </w:p>
    <w:p w14:paraId="100000D3" w14:textId="100000D4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Maintained transparent project tracking across distributed research teams as measured by aligned R&amp;D priorities, by collaborating using Jupyter Notebooks, Google Colab, Confluence, and Jira.</w:t>
      </w:r>
    </w:p>
    <w:p w14:paraId="100000D5" w14:textId="100000D6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real-time analytics and cross-functional collaboration as measured by improved data accessibility, by building ETL pipelines using Apache Airflow into Snowflake.</w:t>
      </w:r>
    </w:p>
    <w:p w14:paraId="100000D7" w14:textId="100000D8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retrieval of genomic sequences and adverse event narratives as measured by improved query performance, by managing unstructured data using MongoDB and Cassandra.</w:t>
      </w:r>
    </w:p>
    <w:p w14:paraId="100000D9" w14:textId="100000DA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Improved responsiveness in clinical trial oversight as measured by faster adverse-event detection, by enabling real-time streaming analytics with Apache Flink and Pulsar.</w:t>
      </w:r>
    </w:p>
    <w:p w14:paraId="100000DB" w14:textId="100000DC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Facilitated data-driven strategic decisions in pharmaceutical R&amp;D as measured by executive adoption of insights, by translating statistical model outcomes into Power BI reports.</w:t>
      </w:r>
    </w:p>
    <w:p w14:paraId="100000DD" w14:textId="100000DE" w:rsidR="0038669D" w:rsidRPr="0038669D" w:rsidRDefault="0038669D" w:rsidP="00AD22D5">
      <w:pPr>
        <w:pStyle w:val="ListParagraph"/>
        <w:numPr>
          <w:ilvl w:val="0"/>
          <w:numId w:val="15"/>
        </w:num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>Enabled flexible analytics workflows for pharmacogenomics as measured by scalable cloud deployment, by engineering microservices-based ML architectures with Docker and Kubernetes.</w:t>
      </w:r>
    </w:p>
    <w:p w14:paraId="100000DF" w14:textId="100000E0" w:rsidR="00006664" w:rsidRPr="00006664" w:rsidRDefault="00000000" w:rsidP="0038669D">
      <w:pPr>
        <w:spacing w:before="16" w:after="16" w:line="240" w:lineRule="auto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sz w:val="15"/>
          <w:szCs w:val="15"/>
          <w:lang w:eastAsia="en-GB"/>
          <w14:ligatures w14:val="none"/>
        </w:rPr>
        <w:pict w14:anchorId="100000E1">
          <v:rect id="_x0000_i1000" alt="" style="width:451.3pt;height:.05pt;mso-width-percent:0;mso-height-percent:0;mso-width-percent:0;mso-height-percent:0" o:hralign="center" o:hrstd="t" o:hr="t" fillcolor="#a0a0a0" stroked="f"/>
        </w:pict>
      </w:r>
    </w:p>
    <w:p w14:paraId="100000E3" w14:textId="100000E4" w:rsidR="00006664" w:rsidRDefault="00006664" w:rsidP="0038669D">
      <w:pPr>
        <w:spacing w:before="16" w:after="16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>EDUCATION</w:t>
      </w:r>
    </w:p>
    <w:p w14:paraId="100000E5" w14:textId="100000E6" w:rsidR="0038669D" w:rsidRPr="00006664" w:rsidRDefault="0038669D" w:rsidP="0038669D">
      <w:p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Master of Science in Computer Science </w:t>
      </w: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- University of Central Missouri</w:t>
      </w:r>
    </w:p>
    <w:p w14:paraId="100000E7" w14:textId="100000E8" w:rsidR="0038669D" w:rsidRPr="00006664" w:rsidRDefault="0038669D" w:rsidP="0038669D">
      <w:pPr>
        <w:spacing w:before="16" w:after="16" w:line="240" w:lineRule="auto"/>
        <w:jc w:val="both"/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0"/>
          <w:sz w:val="15"/>
          <w:szCs w:val="15"/>
          <w:lang w:eastAsia="en-GB"/>
          <w14:ligatures w14:val="none"/>
        </w:rPr>
        <w:t xml:space="preserve">Bachelor of Technology in Electronics &amp; Communication Engineering </w:t>
      </w:r>
      <w:r>
        <w:rPr>
          <w:rFonts w:ascii="Century Gothic" w:eastAsia="Times New Roman" w:hAnsi="Century Gothic" w:cs="Times New Roman"/>
          <w:kern w:val="0"/>
          <w:sz w:val="15"/>
          <w:szCs w:val="15"/>
          <w:lang w:eastAsia="en-GB"/>
          <w14:ligatures w14:val="none"/>
        </w:rPr>
        <w:t xml:space="preserve">- Sreenidhi Institute of Science and Technology</w:t>
      </w:r>
    </w:p>
    <w:sectPr w:rsidR="00EB2CA7" w:rsidRPr="004B7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FAD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26EF9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1C75"/>
    <w:multiLevelType w:val="hybridMultilevel"/>
    <w:tmpl w:val="E45C18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930ACA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E596E"/>
    <w:multiLevelType w:val="hybridMultilevel"/>
    <w:tmpl w:val="AF363002"/>
    <w:lvl w:ilvl="0" w:tplc="C83E77BA">
      <w:numFmt w:val="bullet"/>
      <w:lvlText w:val="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B7078"/>
    <w:multiLevelType w:val="hybridMultilevel"/>
    <w:tmpl w:val="38F0C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D1FC1"/>
    <w:multiLevelType w:val="multilevel"/>
    <w:tmpl w:val="E022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E3968"/>
    <w:multiLevelType w:val="multilevel"/>
    <w:tmpl w:val="E2B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112A2"/>
    <w:multiLevelType w:val="hybridMultilevel"/>
    <w:tmpl w:val="1908A8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B70294B"/>
    <w:multiLevelType w:val="hybridMultilevel"/>
    <w:tmpl w:val="C74E7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C5C2F"/>
    <w:multiLevelType w:val="hybridMultilevel"/>
    <w:tmpl w:val="66C613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D57CDB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E0703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713DC"/>
    <w:multiLevelType w:val="hybridMultilevel"/>
    <w:tmpl w:val="4C305E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C86C30"/>
    <w:multiLevelType w:val="multilevel"/>
    <w:tmpl w:val="8EF0F8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BF7B47"/>
    <w:multiLevelType w:val="hybridMultilevel"/>
    <w:tmpl w:val="63F65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EE4298"/>
    <w:multiLevelType w:val="hybridMultilevel"/>
    <w:tmpl w:val="FF6445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9B3668"/>
    <w:multiLevelType w:val="hybridMultilevel"/>
    <w:tmpl w:val="FD7E68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EF48FA"/>
    <w:multiLevelType w:val="hybridMultilevel"/>
    <w:tmpl w:val="1A801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D2AF3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C3366"/>
    <w:multiLevelType w:val="multilevel"/>
    <w:tmpl w:val="8EF0F8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5E26A5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E47C3"/>
    <w:multiLevelType w:val="hybridMultilevel"/>
    <w:tmpl w:val="9EBE73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822538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961A29"/>
    <w:multiLevelType w:val="multilevel"/>
    <w:tmpl w:val="3FB2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50167">
    <w:abstractNumId w:val="19"/>
  </w:num>
  <w:num w:numId="2" w16cid:durableId="1038314676">
    <w:abstractNumId w:val="21"/>
  </w:num>
  <w:num w:numId="3" w16cid:durableId="1510213678">
    <w:abstractNumId w:val="0"/>
  </w:num>
  <w:num w:numId="4" w16cid:durableId="104663567">
    <w:abstractNumId w:val="23"/>
  </w:num>
  <w:num w:numId="5" w16cid:durableId="126824440">
    <w:abstractNumId w:val="7"/>
  </w:num>
  <w:num w:numId="6" w16cid:durableId="225260494">
    <w:abstractNumId w:val="1"/>
  </w:num>
  <w:num w:numId="7" w16cid:durableId="805009570">
    <w:abstractNumId w:val="11"/>
  </w:num>
  <w:num w:numId="8" w16cid:durableId="604002860">
    <w:abstractNumId w:val="12"/>
  </w:num>
  <w:num w:numId="9" w16cid:durableId="625279951">
    <w:abstractNumId w:val="3"/>
  </w:num>
  <w:num w:numId="10" w16cid:durableId="1238058006">
    <w:abstractNumId w:val="24"/>
  </w:num>
  <w:num w:numId="11" w16cid:durableId="457601261">
    <w:abstractNumId w:val="6"/>
  </w:num>
  <w:num w:numId="12" w16cid:durableId="1107966197">
    <w:abstractNumId w:val="14"/>
  </w:num>
  <w:num w:numId="13" w16cid:durableId="1444180735">
    <w:abstractNumId w:val="20"/>
  </w:num>
  <w:num w:numId="14" w16cid:durableId="581447815">
    <w:abstractNumId w:val="4"/>
  </w:num>
  <w:num w:numId="15" w16cid:durableId="1602840676">
    <w:abstractNumId w:val="18"/>
  </w:num>
  <w:num w:numId="16" w16cid:durableId="1865905078">
    <w:abstractNumId w:val="15"/>
  </w:num>
  <w:num w:numId="17" w16cid:durableId="10108500">
    <w:abstractNumId w:val="17"/>
  </w:num>
  <w:num w:numId="18" w16cid:durableId="1416780439">
    <w:abstractNumId w:val="9"/>
  </w:num>
  <w:num w:numId="19" w16cid:durableId="60954111">
    <w:abstractNumId w:val="5"/>
  </w:num>
  <w:num w:numId="20" w16cid:durableId="452940842">
    <w:abstractNumId w:val="8"/>
  </w:num>
  <w:num w:numId="21" w16cid:durableId="1906144220">
    <w:abstractNumId w:val="2"/>
  </w:num>
  <w:num w:numId="22" w16cid:durableId="1138457489">
    <w:abstractNumId w:val="10"/>
  </w:num>
  <w:num w:numId="23" w16cid:durableId="310404095">
    <w:abstractNumId w:val="22"/>
  </w:num>
  <w:num w:numId="24" w16cid:durableId="707529964">
    <w:abstractNumId w:val="16"/>
  </w:num>
  <w:num w:numId="25" w16cid:durableId="1221206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64"/>
    <w:rsid w:val="00006664"/>
    <w:rsid w:val="000302C6"/>
    <w:rsid w:val="0009618B"/>
    <w:rsid w:val="0016126F"/>
    <w:rsid w:val="00183A0D"/>
    <w:rsid w:val="00186125"/>
    <w:rsid w:val="00303FDB"/>
    <w:rsid w:val="0038669D"/>
    <w:rsid w:val="004B7F5A"/>
    <w:rsid w:val="00695060"/>
    <w:rsid w:val="0082079A"/>
    <w:rsid w:val="0087266F"/>
    <w:rsid w:val="009A333E"/>
    <w:rsid w:val="00A36C39"/>
    <w:rsid w:val="00A36C55"/>
    <w:rsid w:val="00A73BBA"/>
    <w:rsid w:val="00AD22D5"/>
    <w:rsid w:val="00B8239B"/>
    <w:rsid w:val="00D1087C"/>
    <w:rsid w:val="00D9117E"/>
    <w:rsid w:val="00E71C0A"/>
    <w:rsid w:val="00EB2CA7"/>
    <w:rsid w:val="00FB051F"/>
    <w:rsid w:val="00FC718E"/>
    <w:rsid w:val="00FF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A523"/>
  <w15:chartTrackingRefBased/>
  <w15:docId w15:val="{4B3DDEA3-3EC9-F447-AFD3-90407D21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6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6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06664"/>
    <w:rPr>
      <w:b/>
      <w:bCs/>
    </w:rPr>
  </w:style>
  <w:style w:type="character" w:styleId="Emphasis">
    <w:name w:val="Emphasis"/>
    <w:basedOn w:val="DefaultParagraphFont"/>
    <w:uiPriority w:val="20"/>
    <w:qFormat/>
    <w:rsid w:val="00006664"/>
    <w:rPr>
      <w:i/>
      <w:iCs/>
    </w:rPr>
  </w:style>
  <w:style w:type="character" w:styleId="Hyperlink">
    <w:name w:val="Hyperlink"/>
    <w:basedOn w:val="DefaultParagraphFont"/>
    <w:uiPriority w:val="99"/>
    <w:unhideWhenUsed/>
    <w:rsid w:val="00A73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B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22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0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Sankeerth Chanda</dc:creator>
  <cp:keywords/>
  <dc:description/>
  <cp:lastModifiedBy>goutham gunnala</cp:lastModifiedBy>
  <cp:revision>4</cp:revision>
  <cp:lastPrinted>2025-07-03T01:25:00Z</cp:lastPrinted>
  <dcterms:created xsi:type="dcterms:W3CDTF">2025-07-03T18:34:00Z</dcterms:created>
  <dcterms:modified xsi:type="dcterms:W3CDTF">2025-07-22T16:29:00Z</dcterms:modified>
</cp:coreProperties>
</file>