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CASE STUDY</w:t>
        <w:br/>
        <w:t>LOAN DEFAULT PREDICTION USING MACHINE LEARNING</w:t>
      </w:r>
    </w:p>
    <w:p>
      <w:pPr>
        <w:jc w:val="center"/>
      </w:pPr>
      <w:r>
        <w:rPr>
          <w:b/>
          <w:sz w:val="28"/>
        </w:rPr>
        <w:t>Using Random Forest and Gradient-Boosted Trees</w:t>
      </w:r>
    </w:p>
    <w:p/>
    <w:p>
      <w:pPr>
        <w:pStyle w:val="Heading1"/>
      </w:pPr>
      <w:r>
        <w:rPr>
          <w:rFonts w:ascii="Times New Roman" w:hAnsi="Times New Roman"/>
          <w:b/>
          <w:sz w:val="30"/>
        </w:rPr>
        <w:t>1. Introduction</w:t>
      </w:r>
    </w:p>
    <w:p>
      <w:pPr>
        <w:spacing w:after="120"/>
      </w:pPr>
      <w:r>
        <w:t>Loan default is an important problem for banks and financial institutions. When a borrower fails to repay a loan, the financial institution may face financial losses and increased credit risk.</w:t>
      </w:r>
    </w:p>
    <w:p>
      <w:pPr>
        <w:spacing w:after="120"/>
      </w:pPr>
      <w:r>
        <w:t>Traditional loan assessment methods generally depend on predefined rules and manual evaluation. These approaches may not capture complex relationships between borrower characteristics and loan repayment behavior.</w:t>
      </w:r>
    </w:p>
    <w:p>
      <w:pPr>
        <w:spacing w:after="120"/>
      </w:pPr>
      <w:r>
        <w:t>This case study applies machine learning to historical borrower and loan information to predict whether a borrower is likely to default or not default. Two ensemble learning algorithms are considered: Random Forest and Gradient-Boosted Trees.</w:t>
      </w:r>
    </w:p>
    <w:p>
      <w:pPr>
        <w:pStyle w:val="Heading1"/>
      </w:pPr>
      <w:r>
        <w:rPr>
          <w:rFonts w:ascii="Times New Roman" w:hAnsi="Times New Roman"/>
          <w:b/>
          <w:sz w:val="30"/>
        </w:rPr>
        <w:t>2. Problem Statement</w:t>
      </w:r>
    </w:p>
    <w:p>
      <w:pPr>
        <w:spacing w:after="120"/>
      </w:pPr>
      <w:r>
        <w:t>The objective of this case study is to develop a machine-learning-based loan default prediction system. The system analyzes borrower and loan-related information and predicts whether a borrower is likely to default or repay the loan.</w:t>
      </w:r>
    </w:p>
    <w:p>
      <w:pPr>
        <w:spacing w:after="120"/>
      </w:pPr>
      <w:r>
        <w:t>The target variable is Default:</w:t>
        <w:br/>
        <w:t>• 0 – No Default</w:t>
        <w:br/>
        <w:t>• 1 – Default</w:t>
      </w:r>
    </w:p>
    <w:p>
      <w:pPr>
        <w:pStyle w:val="Heading1"/>
      </w:pPr>
      <w:r>
        <w:rPr>
          <w:rFonts w:ascii="Times New Roman" w:hAnsi="Times New Roman"/>
          <w:b/>
          <w:sz w:val="30"/>
        </w:rPr>
        <w:t>3. Dataset Description</w:t>
      </w:r>
    </w:p>
    <w:p>
      <w:pPr>
        <w:spacing w:after="120"/>
      </w:pPr>
      <w:r>
        <w:t>Dataset Name: loan_default_dataset.csv</w:t>
      </w:r>
    </w:p>
    <w:p>
      <w:pPr>
        <w:spacing w:after="120"/>
      </w:pPr>
      <w:r>
        <w:t>The dataset used with the notebook contains borrower and loan-related information. The features include income, credit score, loan amount, interest rate, debt-to-income ratio, employment status, loan term, loan purpose, and home ownership.</w:t>
      </w:r>
    </w:p>
    <w:p>
      <w:pPr>
        <w:spacing w:after="120"/>
      </w:pPr>
      <w:r>
        <w:t>The target variable is Default, which represents whether the borrower defaulted on the loan.</w:t>
      </w:r>
    </w:p>
    <w:p>
      <w:pPr>
        <w:pStyle w:val="Heading1"/>
      </w:pPr>
      <w:r>
        <w:rPr>
          <w:rFonts w:ascii="Times New Roman" w:hAnsi="Times New Roman"/>
          <w:b/>
          <w:sz w:val="30"/>
        </w:rPr>
        <w:t>4. Objectives</w:t>
      </w:r>
    </w:p>
    <w:p>
      <w:pPr>
        <w:spacing w:after="120"/>
      </w:pPr>
      <w:r>
        <w:t>The objectives of the case study are:</w:t>
        <w:br/>
        <w:t>1. Load and understand the loan dataset.</w:t>
        <w:br/>
        <w:t>2. Check the data for missing values and duplicate records.</w:t>
        <w:br/>
        <w:t>3. Convert categorical variables into numerical values.</w:t>
        <w:br/>
        <w:t>4. Separate the input features and target variable.</w:t>
        <w:br/>
        <w:t>5. Split the data into training and testing sets.</w:t>
        <w:br/>
        <w:t>6. Train a Random Forest classifier.</w:t>
        <w:br/>
        <w:t>7. Train a Gradient Boosted Trees classifier.</w:t>
        <w:br/>
        <w:t>8. Evaluate both models using classification metrics.</w:t>
        <w:br/>
        <w:t>9. Compare model performance.</w:t>
        <w:br/>
        <w:t>10. Analyze feature importance.</w:t>
      </w:r>
    </w:p>
    <w:p>
      <w:pPr>
        <w:pStyle w:val="Heading1"/>
      </w:pPr>
      <w:r>
        <w:rPr>
          <w:rFonts w:ascii="Times New Roman" w:hAnsi="Times New Roman"/>
          <w:b/>
          <w:sz w:val="30"/>
        </w:rPr>
        <w:t>5. Data Preprocessing</w:t>
      </w:r>
    </w:p>
    <w:p>
      <w:pPr>
        <w:spacing w:after="120"/>
      </w:pPr>
      <w:r>
        <w:t>The dataset is first loaded using Pandas. Missing values and duplicate records are checked. Categorical variables are converted into numerical representations using label encoding.</w:t>
      </w:r>
    </w:p>
    <w:p>
      <w:pPr>
        <w:spacing w:after="120"/>
      </w:pPr>
      <w:r>
        <w:t>The Default column is separated as the target variable, while the remaining columns are used as input features. The data is divided into training and testing subsets using an 80:20 split, with stratification applied to preserve the target-class distribution.</w:t>
      </w:r>
    </w:p>
    <w:p>
      <w:pPr>
        <w:pStyle w:val="Heading1"/>
      </w:pPr>
      <w:r>
        <w:rPr>
          <w:rFonts w:ascii="Times New Roman" w:hAnsi="Times New Roman"/>
          <w:b/>
          <w:sz w:val="30"/>
        </w:rPr>
        <w:t>6. Random Forest Model</w:t>
      </w:r>
    </w:p>
    <w:p>
      <w:pPr>
        <w:spacing w:after="120"/>
      </w:pPr>
      <w:r>
        <w:t>Random Forest is an ensemble learning algorithm that combines the predictions of multiple decision trees. In this case study, a Random Forest classifier is trained on the processed loan data.</w:t>
      </w:r>
    </w:p>
    <w:p>
      <w:pPr>
        <w:spacing w:after="120"/>
      </w:pPr>
      <w:r>
        <w:t>The model is used to classify borrowers into the two target categories: No Default and Default. Random Forest also provides feature-importance values that can be used to examine the contribution of individual features.</w:t>
      </w:r>
    </w:p>
    <w:p>
      <w:pPr>
        <w:pStyle w:val="Heading1"/>
      </w:pPr>
      <w:r>
        <w:rPr>
          <w:rFonts w:ascii="Times New Roman" w:hAnsi="Times New Roman"/>
          <w:b/>
          <w:sz w:val="30"/>
        </w:rPr>
        <w:t>7. Gradient-Boosted Trees Model</w:t>
      </w:r>
    </w:p>
    <w:p>
      <w:pPr>
        <w:spacing w:after="120"/>
      </w:pPr>
      <w:r>
        <w:t>Gradient Boosting is an ensemble learning method that builds decision trees sequentially. Each new tree attempts to improve the errors made by the previous trees.</w:t>
      </w:r>
    </w:p>
    <w:p>
      <w:pPr>
        <w:spacing w:after="120"/>
      </w:pPr>
      <w:r>
        <w:t>The Gradient Boosting classifier is trained using the same training data and evaluated on the same testing data as the Random Forest model. This allows the two approaches to be compared under the same experimental setup.</w:t>
      </w:r>
    </w:p>
    <w:p>
      <w:pPr>
        <w:pStyle w:val="Heading1"/>
      </w:pPr>
      <w:r>
        <w:rPr>
          <w:rFonts w:ascii="Times New Roman" w:hAnsi="Times New Roman"/>
          <w:b/>
          <w:sz w:val="30"/>
        </w:rPr>
        <w:t>8. Model Evaluation</w:t>
      </w:r>
    </w:p>
    <w:p>
      <w:pPr>
        <w:spacing w:after="120"/>
      </w:pPr>
      <w:r>
        <w:t>The models are evaluated using the following metrics:</w:t>
      </w:r>
    </w:p>
    <w:p>
      <w:pPr>
        <w:spacing w:after="120"/>
      </w:pPr>
      <w:r>
        <w:t>Accuracy – the proportion of total predictions that are correct.</w:t>
      </w:r>
    </w:p>
    <w:p>
      <w:pPr>
        <w:spacing w:after="120"/>
      </w:pPr>
      <w:r>
        <w:t>Precision – the proportion of predicted default cases that are actually default cases.</w:t>
      </w:r>
    </w:p>
    <w:p>
      <w:pPr>
        <w:spacing w:after="120"/>
      </w:pPr>
      <w:r>
        <w:t>Recall – the proportion of actual default cases that are correctly identified.</w:t>
      </w:r>
    </w:p>
    <w:p>
      <w:pPr>
        <w:spacing w:after="120"/>
      </w:pPr>
      <w:r>
        <w:t>F1-Score – the harmonic combination of precision and recall.</w:t>
      </w:r>
    </w:p>
    <w:p>
      <w:pPr>
        <w:spacing w:after="120"/>
      </w:pPr>
      <w:r>
        <w:t>ROC-AUC – a measure of the model's ability to distinguish between the two target classes.</w:t>
      </w:r>
    </w:p>
    <w:p>
      <w:pPr>
        <w:spacing w:after="120"/>
      </w:pPr>
      <w:r>
        <w:t>Confusion Matrix – shows true positive, true negative, false positive, and false negative predictions.</w:t>
      </w:r>
    </w:p>
    <w:p>
      <w:pPr>
        <w:pStyle w:val="Heading1"/>
      </w:pPr>
      <w:r>
        <w:rPr>
          <w:rFonts w:ascii="Times New Roman" w:hAnsi="Times New Roman"/>
          <w:b/>
          <w:sz w:val="30"/>
        </w:rPr>
        <w:t>9. Model Comparison</w:t>
      </w:r>
    </w:p>
    <w:p>
      <w:pPr>
        <w:spacing w:after="120"/>
      </w:pPr>
      <w:r>
        <w:t>The final results should be taken directly from the output of the Loan_default.ipynb notebook. The following table can be completed after running the models:</w:t>
      </w:r>
    </w:p>
    <w:p>
      <w:pPr>
        <w:pStyle w:val="Heading1"/>
      </w:pPr>
      <w:r>
        <w:rPr>
          <w:rFonts w:ascii="Times New Roman" w:hAnsi="Times New Roman"/>
          <w:b/>
          <w:sz w:val="30"/>
        </w:rPr>
        <w:t>10. Case Study Interpretation</w:t>
      </w:r>
    </w:p>
    <w:p>
      <w:pPr>
        <w:spacing w:after="120"/>
      </w:pPr>
      <w:r>
        <w:t>The trained models provide a systematic method for analyzing borrower and loan information. Variables such as income, credit score, loan amount, interest rate, debt-to-income ratio, employment status, loan term, loan purpose, and home ownership are considered by the models.</w:t>
      </w:r>
    </w:p>
    <w:p>
      <w:pPr>
        <w:spacing w:after="120"/>
      </w:pPr>
      <w:r>
        <w:t>The confusion matrices provide additional information about correctly and incorrectly classified borrowers. Feature-importance analysis can also be used to understand which input variables contribute most to the model predictions.</w:t>
      </w:r>
    </w:p>
    <w:p>
      <w:pPr>
        <w:pStyle w:val="Heading1"/>
      </w:pPr>
      <w:r>
        <w:rPr>
          <w:rFonts w:ascii="Times New Roman" w:hAnsi="Times New Roman"/>
          <w:b/>
          <w:sz w:val="30"/>
        </w:rPr>
        <w:t>11. Application Scenario</w:t>
      </w:r>
    </w:p>
    <w:p>
      <w:pPr>
        <w:spacing w:after="120"/>
      </w:pPr>
      <w:r>
        <w:t>A financial institution can use a loan-default prediction system as one analytical component of its credit-risk assessment process. When a loan application is received, borrower and loan characteristics can be processed by the trained model to produce a predicted class of Default or No Default.</w:t>
      </w:r>
    </w:p>
    <w:p>
      <w:pPr>
        <w:spacing w:after="120"/>
      </w:pPr>
      <w:r>
        <w:t>The prediction can be considered together with the institution's existing policies, verification procedures, and human review.</w:t>
      </w:r>
    </w:p>
    <w:p>
      <w:pPr>
        <w:pStyle w:val="Heading1"/>
      </w:pPr>
      <w:r>
        <w:rPr>
          <w:rFonts w:ascii="Times New Roman" w:hAnsi="Times New Roman"/>
          <w:b/>
          <w:sz w:val="30"/>
        </w:rPr>
        <w:t>12. Advantages</w:t>
      </w:r>
    </w:p>
    <w:p>
      <w:pPr>
        <w:spacing w:after="120"/>
      </w:pPr>
      <w:r>
        <w:t>• Automated analysis of borrower and loan information.</w:t>
        <w:br/>
        <w:t>• Ability to consider multiple borrower characteristics simultaneously.</w:t>
        <w:br/>
        <w:t>• Comparison of two ensemble machine learning algorithms.</w:t>
        <w:br/>
        <w:t>• Evaluation using multiple classification metrics.</w:t>
        <w:br/>
        <w:t>• Feature-importance analysis for model interpretation.</w:t>
      </w:r>
    </w:p>
    <w:p>
      <w:pPr>
        <w:pStyle w:val="Heading1"/>
      </w:pPr>
      <w:r>
        <w:rPr>
          <w:rFonts w:ascii="Times New Roman" w:hAnsi="Times New Roman"/>
          <w:b/>
          <w:sz w:val="30"/>
        </w:rPr>
        <w:t>13. Limitations</w:t>
      </w:r>
    </w:p>
    <w:p>
      <w:pPr>
        <w:spacing w:after="120"/>
      </w:pPr>
      <w:r>
        <w:t>Model performance depends on the quality and representativeness of the training data. Historical patterns may not always represent future borrower behavior. False-positive and false-negative predictions can also have different consequences.</w:t>
      </w:r>
    </w:p>
    <w:p>
      <w:pPr>
        <w:spacing w:after="120"/>
      </w:pPr>
      <w:r>
        <w:t>The machine learning output should therefore be treated as an analytical input rather than as the only basis for a lending decision.</w:t>
      </w:r>
    </w:p>
    <w:p>
      <w:pPr>
        <w:pStyle w:val="Heading1"/>
      </w:pPr>
      <w:r>
        <w:rPr>
          <w:rFonts w:ascii="Times New Roman" w:hAnsi="Times New Roman"/>
          <w:b/>
          <w:sz w:val="30"/>
        </w:rPr>
        <w:t>14. Conclusion</w:t>
      </w:r>
    </w:p>
    <w:p>
      <w:pPr>
        <w:spacing w:after="120"/>
      </w:pPr>
      <w:r>
        <w:t>This case study demonstrates the application of machine learning to loan default prediction. Random Forest and Gradient-Boosted Trees are trained using borrower and loan-related information and evaluated using Accuracy, Precision, Recall, F1-Score, ROC-AUC, and confusion matrices.</w:t>
      </w:r>
    </w:p>
    <w:p>
      <w:pPr>
        <w:spacing w:after="120"/>
      </w:pPr>
      <w:r>
        <w:t>The final comparison should use the actual results produced by the Loan_default.ipynb notebook. The study demonstrates how ensemble learning methods can be applied to a binary classification problem involving loan default.</w:t>
      </w:r>
    </w:p>
    <w:p>
      <w:pPr>
        <w:pStyle w:val="Heading1"/>
      </w:pPr>
      <w:r>
        <w:rPr>
          <w:rFonts w:ascii="Times New Roman" w:hAnsi="Times New Roman"/>
          <w:b/>
          <w:sz w:val="30"/>
        </w:rPr>
        <w:t>15. Future Scope</w:t>
      </w:r>
    </w:p>
    <w:p>
      <w:pPr>
        <w:spacing w:after="120"/>
      </w:pPr>
      <w:r>
        <w:t>Possible future improvements include hyperparameter tuning, cross-validation, handling class imbalance, adding relevant borrower features, applying explainable-AI methods such as SHAP, calibrating prediction thresholds, and developing a simple Flask or Streamlit application.</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Model</w:t>
            </w:r>
          </w:p>
        </w:tc>
        <w:tc>
          <w:tcPr>
            <w:tcW w:type="dxa" w:w="1680"/>
          </w:tcPr>
          <w:p>
            <w:r>
              <w:rPr>
                <w:b/>
              </w:rPr>
              <w:t>Accuracy</w:t>
            </w:r>
          </w:p>
        </w:tc>
        <w:tc>
          <w:tcPr>
            <w:tcW w:type="dxa" w:w="1680"/>
          </w:tcPr>
          <w:p>
            <w:r>
              <w:rPr>
                <w:b/>
              </w:rPr>
              <w:t>Precision</w:t>
            </w:r>
          </w:p>
        </w:tc>
        <w:tc>
          <w:tcPr>
            <w:tcW w:type="dxa" w:w="1680"/>
          </w:tcPr>
          <w:p>
            <w:r>
              <w:rPr>
                <w:b/>
              </w:rPr>
              <w:t>Recall</w:t>
            </w:r>
          </w:p>
        </w:tc>
        <w:tc>
          <w:tcPr>
            <w:tcW w:type="dxa" w:w="1680"/>
          </w:tcPr>
          <w:p>
            <w:r>
              <w:rPr>
                <w:b/>
              </w:rPr>
              <w:t>F1-Score</w:t>
            </w:r>
          </w:p>
        </w:tc>
        <w:tc>
          <w:tcPr>
            <w:tcW w:type="dxa" w:w="1680"/>
          </w:tcPr>
          <w:p>
            <w:r>
              <w:rPr>
                <w:b/>
              </w:rPr>
              <w:t>ROC-AUC</w:t>
            </w:r>
          </w:p>
        </w:tc>
      </w:tr>
      <w:tr>
        <w:tc>
          <w:tcPr>
            <w:tcW w:type="dxa" w:w="1680"/>
          </w:tcPr>
          <w:p>
            <w:r>
              <w:t>Random Forest</w:t>
            </w:r>
          </w:p>
        </w:tc>
        <w:tc>
          <w:tcPr>
            <w:tcW w:type="dxa" w:w="1680"/>
          </w:tcPr>
          <w:p>
            <w:r>
              <w:t>[Enter notebook result]</w:t>
            </w:r>
          </w:p>
        </w:tc>
        <w:tc>
          <w:tcPr>
            <w:tcW w:type="dxa" w:w="1680"/>
          </w:tcPr>
          <w:p>
            <w:r>
              <w:t>[Enter notebook result]</w:t>
            </w:r>
          </w:p>
        </w:tc>
        <w:tc>
          <w:tcPr>
            <w:tcW w:type="dxa" w:w="1680"/>
          </w:tcPr>
          <w:p>
            <w:r>
              <w:t>[Enter notebook result]</w:t>
            </w:r>
          </w:p>
        </w:tc>
        <w:tc>
          <w:tcPr>
            <w:tcW w:type="dxa" w:w="1680"/>
          </w:tcPr>
          <w:p>
            <w:r>
              <w:t>[Enter notebook result]</w:t>
            </w:r>
          </w:p>
        </w:tc>
        <w:tc>
          <w:tcPr>
            <w:tcW w:type="dxa" w:w="1680"/>
          </w:tcPr>
          <w:p>
            <w:r>
              <w:t>[Enter notebook result]</w:t>
            </w:r>
          </w:p>
        </w:tc>
      </w:tr>
      <w:tr>
        <w:tc>
          <w:tcPr>
            <w:tcW w:type="dxa" w:w="1680"/>
          </w:tcPr>
          <w:p>
            <w:r>
              <w:t>Gradient Boosted Trees</w:t>
            </w:r>
          </w:p>
        </w:tc>
        <w:tc>
          <w:tcPr>
            <w:tcW w:type="dxa" w:w="1680"/>
          </w:tcPr>
          <w:p>
            <w:r>
              <w:t>[Enter notebook result]</w:t>
            </w:r>
          </w:p>
        </w:tc>
        <w:tc>
          <w:tcPr>
            <w:tcW w:type="dxa" w:w="1680"/>
          </w:tcPr>
          <w:p>
            <w:r>
              <w:t>[Enter notebook result]</w:t>
            </w:r>
          </w:p>
        </w:tc>
        <w:tc>
          <w:tcPr>
            <w:tcW w:type="dxa" w:w="1680"/>
          </w:tcPr>
          <w:p>
            <w:r>
              <w:t>[Enter notebook result]</w:t>
            </w:r>
          </w:p>
        </w:tc>
        <w:tc>
          <w:tcPr>
            <w:tcW w:type="dxa" w:w="1680"/>
          </w:tcPr>
          <w:p>
            <w:r>
              <w:t>[Enter notebook result]</w:t>
            </w:r>
          </w:p>
        </w:tc>
        <w:tc>
          <w:tcPr>
            <w:tcW w:type="dxa" w:w="1680"/>
          </w:tcPr>
          <w:p>
            <w:r>
              <w:t>[Enter notebook result]</w:t>
            </w:r>
          </w:p>
        </w:tc>
      </w:tr>
    </w:tbl>
    <w:p/>
    <w:p>
      <w:r>
        <w:rPr>
          <w:b/>
        </w:rPr>
        <w:t xml:space="preserve">Note: </w:t>
      </w:r>
      <w:r>
        <w:t>Do not insert assumed performance values. Enter the Accuracy, Precision, Recall, F1-Score, and ROC-AUC values generated by the notebook.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