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AML Automation — Agent Workflow Flowcharts</w:t>
      </w:r>
    </w:p>
    <w:p>
      <w:pPr>
        <w:spacing w:after="120"/>
      </w:pPr>
      <w:r>
        <w:t xml:space="preserve">Generated: 2026-07-30T06:47:46.248Z</w:t>
      </w:r>
    </w:p>
    <w:p>
      <w:pPr>
        <w:spacing w:after="120"/>
      </w:pPr>
      <w:r>
        <w:t xml:space="preserve">High-resolution flowcharts (3x scale, 3600px canvas). Regenerate: node pipeline/scripts/write-agent-workflows-docx.cjs</w:t>
      </w:r>
    </w:p>
    <w:p>
      <w:pPr>
        <w:pStyle w:val="Heading1"/>
        <w:spacing w:after="200"/>
      </w:pPr>
      <w:r>
        <w:t xml:space="preserve">Figure 1 — High-level agent map</w:t>
      </w:r>
    </w:p>
    <w:p>
      <w:pPr>
        <w:spacing w:after="120"/>
      </w:pPr>
      <w:r>
        <w:t xml:space="preserve">Standard AML pipeline with numbered navigation (①–⑨). **Blue boxes = Cursor agents** (orchestrators and Playwright workers). Amber = outputs/artifacts; gray = inputs. Path A: FSD + Figma required; Excel optional on input. Path B: defects → Google → regression.</w:t>
      </w:r>
    </w:p>
    <w:p>
      <w:pPr>
        <w:spacing w:after="120"/>
      </w:pPr>
      <w:r>
        <w:t xml:space="preserve">Source: 4191×7296px PNG</w:t>
      </w:r>
    </w:p>
    <w:p>
      <w:pPr>
        <w:spacing w:after="240"/>
        <w:jc w:val="center"/>
      </w:pPr>
      <w:r>
        <w:drawing>
          <wp:inline distT="0" distB="0" distL="0" distR="0">
            <wp:extent cx="9286875" cy="1616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161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/>
      </w:pPr>
      <w:r>
        <w:t xml:space="preserve">Figure 2 — Primary workflow — Excel to automation</w:t>
      </w:r>
    </w:p>
    <w:p>
      <w:pPr>
        <w:spacing w:after="120"/>
      </w:pPr>
      <w:r>
        <w:t xml:space="preserve">Stage 0 reconciles or creates Excel; after human approval the QA pipeline validates, normalizes, and processes six batches with live UI generation.</w:t>
      </w:r>
    </w:p>
    <w:p>
      <w:pPr>
        <w:spacing w:after="120"/>
      </w:pPr>
      <w:r>
        <w:t xml:space="preserve">Source: 9342×2310px PNG</w:t>
      </w:r>
    </w:p>
    <w:p>
      <w:pPr>
        <w:spacing w:after="240"/>
        <w:jc w:val="center"/>
      </w:pPr>
      <w:r>
        <w:drawing>
          <wp:inline distT="0" distB="0" distL="0" distR="0">
            <wp:extent cx="9286875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/>
      </w:pPr>
      <w:r>
        <w:t xml:space="preserve">Figure 3 — Defects and regression</w:t>
      </w:r>
    </w:p>
    <w:p>
      <w:pPr>
        <w:spacing w:after="120"/>
      </w:pPr>
      <w:r>
        <w:t xml:space="preserve">Execute specs to raise local defects; sync to Google after approval. Regression retests Resolved rows.</w:t>
      </w:r>
    </w:p>
    <w:p>
      <w:pPr>
        <w:spacing w:after="120"/>
      </w:pPr>
      <w:r>
        <w:t xml:space="preserve">Source: 1545×2850px PNG</w:t>
      </w:r>
    </w:p>
    <w:p>
      <w:pPr>
        <w:spacing w:after="240"/>
        <w:jc w:val="center"/>
      </w:pPr>
      <w:r>
        <w:drawing>
          <wp:inline distT="0" distB="0" distL="0" distR="0">
            <wp:extent cx="9286875" cy="1713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171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/>
      </w:pPr>
      <w:r>
        <w:t xml:space="preserve">Figure 4 — Human approval gates and handoffs</w:t>
      </w:r>
    </w:p>
    <w:p>
      <w:pPr>
        <w:spacing w:after="120"/>
      </w:pPr>
      <w:r>
        <w:t xml:space="preserve">Mandatory subagent invocation at each gate. Parent orchestrates only — must invoke named agents; if a subagent fails, parent continues orchestration per pipeline rules.</w:t>
      </w:r>
    </w:p>
    <w:p>
      <w:pPr>
        <w:spacing w:after="120"/>
      </w:pPr>
      <w:r>
        <w:t xml:space="preserve">Source: 7959×876px PNG</w:t>
      </w:r>
    </w:p>
    <w:p>
      <w:pPr>
        <w:spacing w:after="240"/>
        <w:jc w:val="center"/>
      </w:pPr>
      <w:r>
        <w:drawing>
          <wp:inline distT="0" distB="0" distL="0" distR="0">
            <wp:extent cx="9286875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ae1911de739e5ace70178a2568dbf8707944e4.png"/><Relationship Id="rId8" Type="http://schemas.openxmlformats.org/officeDocument/2006/relationships/image" Target="media/e11fd978b8bf62f24a7071e86e5c869288085c2f.png"/><Relationship Id="rId9" Type="http://schemas.openxmlformats.org/officeDocument/2006/relationships/image" Target="media/602e7b621eef34195966359029ebf55cc728bd94.png"/><Relationship Id="rId10" Type="http://schemas.openxmlformats.org/officeDocument/2006/relationships/image" Target="media/fd68404cbdc76fbe077e48ace03da1dac3fae7a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2026-07-30T06:47:46.432Z</dcterms:created>
  <dcterms:modified xsi:type="dcterms:W3CDTF">2026-07-30T06:47:46.432Z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