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2a53a0" w:space="0" w:sz="4" w:val="single"/>
              <w:right w:color="cccccc" w:space="0" w:sz="4" w:val="single"/>
            </w:tcBorders>
            <w:shd w:fill="1e3a5f" w:val="clear"/>
            <w:tcMar>
              <w:top w:w="160.0" w:type="dxa"/>
              <w:left w:w="180.0" w:type="dxa"/>
              <w:bottom w:w="1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20"/>
                <w:szCs w:val="20"/>
                <w:rtl w:val="0"/>
              </w:rPr>
              <w:t xml:space="preserve">CLARI5  |  AML Products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Customer 360°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bd5e1"/>
                <w:sz w:val="22"/>
                <w:szCs w:val="22"/>
                <w:rtl w:val="0"/>
              </w:rPr>
              <w:t xml:space="preserve">Functional Specification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a53a0" w:space="0" w:sz="4" w:val="single"/>
              <w:right w:color="cccccc" w:space="0" w:sz="4" w:val="single"/>
            </w:tcBorders>
            <w:shd w:fill="1e3a7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bd5e1"/>
                <w:sz w:val="18"/>
                <w:szCs w:val="18"/>
                <w:rtl w:val="0"/>
              </w:rPr>
              <w:t xml:space="preserve">May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d8d8d"/>
                <w:sz w:val="18"/>
                <w:szCs w:val="18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Functional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d8d8d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AML — Customer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d8d8d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Product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d8d8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Draft for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Clari5 AML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To Be Determined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Review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May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1.  Purpose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2a53a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This Functional Specification Document (FSD) defines the design, behaviour, data fields, and business rules for the Customer 360° View module within the Clari5 AML Platform. The module provides a unified, single-screen operational view of a customer across all AML-relevant dimensions: identity, risk profile, KYC/CDD status, screening results, transactional behaviour, alerts, regulatory reports, relationships, and KYC gap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The Customer 360° View is designed for use by compliance analysts, relationship managers, and branch supervisors who need to quickly assess a customer's complete AML posture without navigating across multiple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The view supports two customer modes — Individual and Non-Individual (Corporate) — and dynamically adapts its content based on the selected mode. All eleven tabs are described in this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2.  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2a53a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Customer 360°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 unified profile screen aggregating all customer-level AML data into a single tabbed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 natural person customer. Has personal details, family relationships, and individual KYC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Non-Individual / Corporate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 legal entity customer (company, trust, foundation). Has UBO details, company financials, and corporate KYC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Risk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 composite AML risk score (0–100) computed from transaction, screening, account, KYC, and relationship risk factors.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PEP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Politically Exposed Person — a customer with public position or close association to public officials.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 Gap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The sum of missing KYC field weights for the customer, as defined in the Missing Mandatory Data Template.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UBO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Ultimate Beneficial Owner — natural person(s) who own or control 25% or more of a corporate 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Suspicious Transaction Report — a regulatory filing triggered by suspicious financial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Currency Transaction Report — a regulatory filing for high-value cash 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Customer Due Diligence — the standard level of KYC investigation for most customers.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EDD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Enhanced Due Diligence — a deeper level of investigation for high-risk customers.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Simplified Due Diligence — a reduced investigation level for low-risk customers.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Law Enforcement Agency — external government requests for customer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 system-generated notification of a potentially suspicious transaction or behaviour pattern.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Screening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 name or entity </w:t>
            </w:r>
            <w:r w:rsidDel="00000000" w:rsidR="00000000" w:rsidRPr="00000000">
              <w:rPr>
                <w:color w:val="161616"/>
                <w:sz w:val="20"/>
                <w:szCs w:val="20"/>
                <w:rtl w:val="0"/>
              </w:rPr>
              <w:t xml:space="preserve">matches</w:t>
            </w: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 against sanctions, PEP, or adverse media lists.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3.  Module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2a53a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3.1  Layout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The Customer 360° View is a full-page application composed of the following layers from top to bottom: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Top Navigation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Application-level nav bar with Clari5 branding, breadcrumb, current customer name, and Export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Customer Type Switcher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Toggle between Individual and Non-Individual (Corporate) modes. Dynamically updates all panels.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Customer Header 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Key customer identifiers: avatar/initials, full name, UID, CIF, type tag, PEP/adverse media flags, risk score, CDD/EDD flag, dormant flag, high-risk country transactions, STR/CTR/LEA flags, active alert count, and identity document 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Tab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Horizontal tab strip with eleven tabs for navigating between data domains.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Main Content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Scrollable panel showing the active tab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Bottom Hint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Displays module name and last updated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3.2  Customer Type Modes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Individual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Shows personal details, employment, address, family relationships, individual KYC fields, and individual transaction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Non-Individual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Shows company details, business segment, UBO/ownership structure, Power of Attorney, corporate KYC, and corporate transaction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Mode switching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Selecting a mode via the type switcher re-renders all dynamic content. The active tab remains unchanged; only the data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Default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Individual mode is active on page load.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4.  Tab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2a53a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The Customer 360° View contains eleven tabs accessible from the tab bar. Each tab is described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4.1  Overview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The Overview tab is the landing tab and provides a high-level summary of the customer's AML status. It contains the following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4.1.1  KPI Tiles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Six metric tiles are displayed in a grid at the top of the Overview 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Risk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Risk label (e.g., High Risk) and composite risk score out of 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Current KYC state (Verified / Pending / Expired) and next review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Active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Count of open alerts. Shows 'Action Required' if &gt;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Total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Count of active accounts held by the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Reg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Summary of regulatory filings (STR count, CTR flag).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 Gap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The customer's current KYC Gap Score (raw numeric sum of missing field weights), accompanied by a Priority badge (Low / Medium / High / Critical). Clicking this tile navigates to the KYC Gap Report tab.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The KYC Gap Score tile has a left colour border that matches the priority colour (green for Low, amber for Medium, red for High, dark red for Critical). It updates dynamically when the customer type is switched.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4.1.2  Left Column — Customer Detail Cards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Personal / Company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For Individuals: name, alias, DoB, place of birth, mobile, email, gender, citizenship, resident status. For Corporate: company name, entity type, industry, incorporation date/country, registered address, phone,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Employment &amp;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For Individuals: occupation, employer, business segment, customer tags (HNI, PEP). For Corporate: business type, segment, annual turnover, employee count, customer tags (EDD, Listed).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Onboarding &amp; 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Onboarding date, channel, FATCA status, FEMA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Contact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For Individuals: primary and mailing address. For Corporate: registered office, operating office, correspondence address.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4.1.3  Right Column — Risk &amp; Screening Cards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Risk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 donut/ring chart showing category-wise risk contribution (Transactions, Depository, Account, KYC, Related Parties). Centre shows composite risk score and customer name. A colour-coded risk tag (e.g., High Risk) is shown in the card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Key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Table of related parties with their list match, sanction/screening context, and match percentage.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Screening 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Table of name matches against watchlists (OFAC SDN, UN Sanctions, etc.) with match scores.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4.1.4  Transaction Metrics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A full-width card displaying: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Avg Daily, Avg Monthly, Total YTD transaction counts and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Cash vs Non-Cash ratio with horizontal progress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Domestic vs Cross-Border ratio with horizontal progress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Top Activity: Top 5 transaction counterparties by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Unusual Patterns: List of triggered and non-triggered pattern flags with links to related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High Risk Corridor: Identified geographic corridors of concern.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4.1.5  Bottom Row Cards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Recent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Timeline of recent compliance-relevant events (risk downgrades, address updates, match dispositions). Shows event, description, date, and responsible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Regulatory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Table showing STR Filed, CTR Filed, Account Frozen, and LEA Requests with Yes/No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4.2  Relationships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Displays the customer's connected parties and associated risk indicators.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Individual — Family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Name, relation type, date of birth, KYC verification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Individual — Joint Account 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Name, account number (linked), relation, KYC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Corporate — UBO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Full table of ultimate beneficial owners: name, designation, nationality, DIN/ID, DoB, PAN, PEP flag, sanctions match, ownership percentage. Includes graphical link analysis shortcut.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Corporate — Power of Attorney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Account number, authorised person name, scope, and expiry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PEP Match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Displayed for any customer with a PEP match in their relationship network.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4.3  Screening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Displays the results of automated sanctions, PEP, and adverse media screening.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Screening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Overall screening status (Flagged / Clear), last screening date, auto-refresh toggle, and Re-screen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Sanctions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Matches against OFAC, SDN, UN, and other watchlists. Each match shows name, list, match score, and expandable detail.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PEP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PEP matches with list source, jurisdiction, political role, and relationship type (direct/indirect).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Adverse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Flagged news items with source, headline snippet, date, and risk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Screening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Chronological log of all screening runs with date, triggered by (auto/manual), result, and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4.4  Risk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Displays the detailed AML risk assessment for the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Risk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Overall risk score with a visual gauge. Composite score broken down by: Transaction Risk, Depository Risk, Account Risk, KYC Risk, Related Parties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Risk Factor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Each contributing risk factor listed with its individual score, weight, and High/Medium/Low classification badge.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Override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Displayed when a manual risk score override is active. Shows override reason, overriding officer, and effective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Risk Score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Line chart or timeline showing risk score changes over the past 12 months with event annotations.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4.5  KYC / CDD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Displays the full KYC file for the customer including submitted documents and CDD/EDD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KYC Summary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 level (SDD/CDD/EDD), overall KYC status, last review date, and next review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Identity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List of submitted identity documents with document type, reference number, expiry date, and verification status (Verified/Pending/Expired).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Financial Profile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Source of Funds, Source of Wealth, bank statements, and tax return documents with submission date and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EDD-specific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Enhanced ID verification, adverse media report, site visit record, annual EDD review — shown only when customer is EDD-level.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CDD Level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Displays current CDD level. Highlighted in red for EDD customers.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4.6  Accounts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Lists all accounts held by the customer across all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Product filter pills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Filter accounts by product type (Savings, Current, Investment, Loan,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Account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Account number (linked), product type, account status (Active/Dormant), opening date, currency, current balance, and last transaction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Dormant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Highlighted with a distinct status pill; trigger for additional compliance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4.7  Transactions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Shows the customer's transaction history with AML-relevant filters and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Date range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Filter transactions by date range.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Transaction type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Credit / Debit / 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Transaction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Date, description, counterparty, amount, currency, channel (branch/online/ATM), and alert flag (if any).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Alert-linked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Transactions linked to open alerts are highlighted and include a link to the alert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Transactions can be exported for further analysis.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4.8  Alerts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Displays all AML alerts generated for the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Alert Summary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Total alerts, active alerts (awaiting action), escalated count, and pending response 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Alert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Alert ID, type, scenario name, severity (Critical/High/Medium/Low), status (Open/In Progress/Closed), creation date, last updated, and assigned analyst.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Alert Detail (expand)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Detailed view of the alert: triggering transactions, match criteria, analyst notes, and disposition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Active count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The count displayed in the header strip is the count of Open alerts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4.9  Regulatory Reports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Displays all regulatory filings associated with the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STR/SAR filings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Report reference, filing date, jurisdiction, status, and link to full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CTR filings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Currency transaction report reference, transaction date, amount, and filing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LEA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Law enforcement request ID, requesting agency, date received, status, and response deadline.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Filing status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Filed, Pending, Draft, Rejected — colour-coded.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4.10  KYC Gap Report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The KYC Gap Report tab is a customer-level view of the KYC Gap data sourced from the Missing Mandatory Data Template module. It shows all missing fields and the computed gap score for this specific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4.10.1  Header Bar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"KYC Gap Report" with subtitle: "Missing or expired KYC fields — CBS &amp; DMS import vs. template requirements"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Export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Exports this customer's gap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4.10.2  KPI Summary Strip (3 cards)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 Gap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Raw numeric gap score with colour-coded risk label (Low/Medium/High/Critical).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Missing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Count of missing fields with a note on which sections they span (CIP / CDD).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Template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Name of the template assigned to this customer, plus Branch Name and Branch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4.10.3  Missing Fields Detail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Each missing field is displayed as a row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Field name and 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Requirement type (Mandatory / Optional) with weight (3 or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A left border colour indicating severity (red = Mandatory, amber = Optional).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At the bottom of the card a Score Summary row shows the Total KYC Gap Score = sum of all missing field weights, with the corresponding risk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The Gap Type badge (CIP / CDD / EDD) is shown in the card header alongside the section title.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4.10.4 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The KYC Gap Score is always a raw integer sum of missing field weights — never a percentage.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This tab shows the gap data for the specific customer being viewed. It is not a report across all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If the customer has no KYC gaps, this tab displays an empty state with a 'No active gaps'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4.11  Audit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Displays a full chronological audit trail of all compliance-relevant actions taken on or for this customer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600"/>
        <w:gridCol w:w="1400"/>
        <w:gridCol w:w="1560"/>
        <w:tblGridChange w:id="0">
          <w:tblGrid>
            <w:gridCol w:w="1600"/>
            <w:gridCol w:w="2200"/>
            <w:gridCol w:w="2600"/>
            <w:gridCol w:w="14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/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LOG-001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Risk Rating Downgrade — from High to Medium after clear screening.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05 Jan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LOG-002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Address Update — residential address updated via proof of residence.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Sarah Jenkins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04 Jan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LOG-003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Match False Positive — John D. Doe marked as False Positive.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Mike 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03 Jan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LOG-004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Credit Limit Increase — based on usage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02 Jan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LOG-005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Document Verified — passport verification successful.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01 Jan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LOG-006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Alert Escalated — ALT-655 escalated to compliance team; STR filed.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James Patel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28 Dec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The audit log captures all actions across all tabs. It cannot be edited or deleted. Actions are categorised as: Risk, KYC, Screening, Alert, Product, Regulatory.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5.  Customer Header Strip — Field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bottom w:color="2a53a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The customer header strip is persistent across all tabs and always shows the following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5.1  Individual Customer Header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Avatar / Initials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Two-letter initials on a blue circular badge.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Customer legal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Unique universal customer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Core Banking CIF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Type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Individual label tag.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PEP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YES or NO — links to screening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Adverse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YES or NO — links to screening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Risk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Colour-coded badge: red = high, amber = medium, green = 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CDD/EDD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YES if the customer is subject to enhanced due diligence.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Dormant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YES if the customer has no recent account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High-Risk Country Txns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Tags for each high-risk country where transactions have occurred.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STR/SAR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YES or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CTR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YES or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LEA Requests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YES or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Active Alerts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Count of open alerts — colour-coded badge.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Identity IDs (row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Aadhaar, Passport, Date of Birth, PAN — shown as ID tag pills.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5.2  Non-Individual Customer Header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Avatar / Initials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Two-letter initials on a green square badge.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Legal entity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UID / CIF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Same as Individual.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Type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Corporate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PEP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YES (director or UBO is PEP) — highlighted in orange if YES.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Adverse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YES/NO — orange if YES.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Risk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Same as Individual.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CDD/EDD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Orange tag if YES, indicating EDD is in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Dormant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YES or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High-Risk Country Txns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Country tags — orange if flagged.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STR/SAR / CTR / LEA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Orange tags if YES.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Active Alerts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Red badge if &gt;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Identity IDs (row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CIN, GSTIN, Incorporation Date, PAN, LEI — ID tag pills.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6.  Dynamic Customer Type Switching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bottom w:color="2a53a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When a user switches between Individual and Non-Individual mode, the following elements update dynamically without a page reload: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Customer header strip (avatar, name, UID, CIF, tags, IDs).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All KPI tile values (risk score, KYC status, alerts, accounts, reg reports, KYC Gap Score).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Risk wheel score, colour, and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All detail cards: Personal/Company Details, Employment/Business Segment, Onboarding,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KYC CDD level indicator.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Regulatory status row values (STR, CTR, LEA).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Active alert count badge.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Relationships tab content (Individual shows family; Corporate shows UBO/PoA).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2"/>
          <w:szCs w:val="22"/>
          <w:u w:val="none"/>
          <w:shd w:fill="auto" w:val="clear"/>
          <w:vertAlign w:val="baseline"/>
          <w:rtl w:val="0"/>
        </w:rPr>
        <w:t xml:space="preserve">KYC Gap Score tile: score, priority badge, and border colour.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61616"/>
          <w:sz w:val="22"/>
          <w:szCs w:val="22"/>
          <w:rtl w:val="0"/>
        </w:rPr>
        <w:t xml:space="preserve">The active tab is preserved when switching customer type. Data is loaded from an in-memory data object (indData / niData) keyed to each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7.  Data Model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bottom w:color="2a53a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7.1  Individual Customer Data Object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4960"/>
        <w:tblGridChange w:id="0">
          <w:tblGrid>
            <w:gridCol w:w="2800"/>
            <w:gridCol w:w="16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2-char initials for avatar display.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Customer full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riskScore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String/Integer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Composite risk score (0–100).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riskLabel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Risk category label (e.g., High Risk).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riskColor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Hex 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Display colour for risk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 status (Verified/Pending/Expired).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Hex 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Colour for KYC status display.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Next KYC review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alertsVal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String/Integer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Number of active 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accountsVal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String/Integer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Number of active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regVal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Summary of regulatory filings.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gapScore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 Gap Score (sum of missing field weights).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gapPriority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Low | Medium | High |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gapPriorityColor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Hex 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Colour for gap priority display.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gapPriorityBg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Hex 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Background colour for gap priority badge.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gapFields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Short description of missing fields 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kycCddLevel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 level label (Standard / Enhanced (EDD) / Simplified).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53a0"/>
          <w:sz w:val="28"/>
          <w:szCs w:val="28"/>
          <w:rtl w:val="0"/>
        </w:rPr>
        <w:t xml:space="preserve">7.2  KYC Gap Record (Customer-level)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gapScore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Integer. Sum of all missing field weights.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Enum: Low | Medium | High | Critical. Derived from template score bands.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missing[]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Array of missing field names.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missingWeights[]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Parallel array of weights (3 or 1) for each missing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gapType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Enum: CIP | CDD | EDD — the highest gap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Template name applied to this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branchCode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Branch code (e.g., BLR06).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8. 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bottom w:color="2a53a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The Customer 360° view must load the initial overview tab within 2 seconds. Subsequent tab switches must complete within 500ms.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All tab content must be readable on screen widths of 1280px and above without horizontal scrolling.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Only authenticated users with the Compliance Analyst or above role may access the Customer 360° view. Sensitive fields (PAN, Aadhaar, account numbers) are masked by default and require explicit reveal.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All interactive elements must be keyboard navigable. Colour-coded badges must also convey meaning through text labels (not colour alone).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Any action taken from within the Customer 360° view (e.g., marking a screening match as FP, uploading a document) must be recorded in the Audit tab.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Data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 Gap Score is computed on page load from the latest available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Print /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The Export button in the top nav generates a PDF snapshot of the currently visible tab content, with the customer header strip included.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9.  Open Items &amp;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bottom w:color="2a53a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4960"/>
        <w:gridCol w:w="1800"/>
        <w:tblGridChange w:id="0">
          <w:tblGrid>
            <w:gridCol w:w="600"/>
            <w:gridCol w:w="2000"/>
            <w:gridCol w:w="49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Risk score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Confirm exact weights for each risk category (Transaction, Depository, Account, KYC, Related Parties) in the composite score.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Masking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Define which fields are masked by default for each user role (Analyst vs. Supervisor vs. Auditor).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Real-time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Confirm which data domains are real-time vs. batched (e.g., screening results vs. transaction aggregates).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Multi-currency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Define how multi-currency account balances are displayed and whether conversion is applied.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Alert escalation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Confirm whether escalation of alerts from this screen is in scope for v1.0.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10.  Revision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bottom w:color="2a53a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000"/>
        <w:gridCol w:w="1600"/>
        <w:gridCol w:w="4760"/>
        <w:tblGridChange w:id="0">
          <w:tblGrid>
            <w:gridCol w:w="1000"/>
            <w:gridCol w:w="2000"/>
            <w:gridCol w:w="16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Product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Initial draft. Covers all eleven tabs including KYC Gap Report tab, KYC Gap Score tile in Overview, dynamic customer type switching, data model, and non-functional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Product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61616"/>
                <w:sz w:val="20"/>
                <w:szCs w:val="20"/>
                <w:rtl w:val="0"/>
              </w:rPr>
              <w:t xml:space="preserve">KYC Gap Report tab update: removed Gap Assessment Date from header, Days Open KPI card, Upload buttons from missing field rows, and Gap Activity Log card. KPI strip reduced from 4 to 3 cards. Data model and glossary updated accordingly.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0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>
          <w:tcBorders>
            <w:top w:color="2a53a0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6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41">
          <w:pPr>
            <w:rPr/>
          </w:pPr>
          <w:r w:rsidDel="00000000" w:rsidR="00000000" w:rsidRPr="00000000">
            <w:rPr>
              <w:rFonts w:ascii="Arial" w:cs="Arial" w:eastAsia="Arial" w:hAnsi="Arial"/>
              <w:color w:val="8d8d8d"/>
              <w:sz w:val="17"/>
              <w:szCs w:val="17"/>
              <w:rtl w:val="0"/>
            </w:rPr>
            <w:t xml:space="preserve">© 2026 CustomerXPs Software Pvt. Ltd. All rights reserved.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2a53a0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6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42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8d8d8d"/>
              <w:sz w:val="17"/>
              <w:szCs w:val="17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color w:val="8d8d8d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color w:val="8d8d8d"/>
              <w:sz w:val="17"/>
              <w:szCs w:val="17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color w:val="8d8d8d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9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2a53a0" w:space="0" w:sz="4" w:val="single"/>
            <w:right w:color="000000" w:space="0" w:sz="0" w:val="nil"/>
          </w:tcBorders>
          <w:tcMar>
            <w:top w:w="4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23D">
          <w:pPr>
            <w:rPr/>
          </w:pPr>
          <w:r w:rsidDel="00000000" w:rsidR="00000000" w:rsidRPr="00000000">
            <w:rPr>
              <w:rFonts w:ascii="Arial" w:cs="Arial" w:eastAsia="Arial" w:hAnsi="Arial"/>
              <w:color w:val="525252"/>
              <w:sz w:val="18"/>
              <w:szCs w:val="18"/>
              <w:rtl w:val="0"/>
            </w:rPr>
            <w:t xml:space="preserve">Clari5 AML Products  |  FSD — Customer 360° View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2a53a0" w:space="0" w:sz="4" w:val="single"/>
            <w:right w:color="000000" w:space="0" w:sz="0" w:val="nil"/>
          </w:tcBorders>
          <w:tcMar>
            <w:top w:w="4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23E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8d8d8d"/>
              <w:sz w:val="18"/>
              <w:szCs w:val="18"/>
              <w:rtl w:val="0"/>
            </w:rPr>
            <w:t xml:space="preserve">CONFIDENTIAL  |  v1.0  |  May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a53a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IMehYkjrN1oVfh/e7DA/j4nDAQ==">CgMxLjA4AHIhMTdLZFh0UjY4c3RiZC1XWTdxa1BMMmRMZno5NEd5aGVx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