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api-testcase-pipeline — Agent Run Summary</w:t>
      </w:r>
    </w:p>
    <w:p>
      <w:pPr>
        <w:spacing w:after="120"/>
      </w:pPr>
      <w:r>
        <w:t xml:space="preserve">Generated: 2026-08-25T07:37:40.407Z</w:t>
      </w:r>
    </w:p>
    <w:p>
      <w:pPr>
        <w:spacing w:after="120"/>
      </w:pPr>
      <w:r>
        <w:t xml:space="preserve">Agent: api-testcase-pipeline</w:t>
      </w:r>
    </w:p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44 current Swagger operations across 43 unique paths independently fetched and enumerated.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153 API cases include functional, response-body, and timing/security expectations on every row.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Body and Response Body columns are both derived from the Swagger operation schemas.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Pass/fail depends on the response body, not the status code and timing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Payment, payment-rail, TM, and TM-ingestion NFRs were excluded.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Screening-related performance, TLS/mTLS, RBAC/SoD, API security, availability, active-active resilience, RPO/RTO, replay/idempotency, audit, and watchlist refresh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Excluded: Payment transactions, Payment rails, Transaction monitoring, TM ingestion, Payment sanctions 0.1/0.2/0.45-second percentile targets, Load/TPS/soak scenarios outside the default REST pack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Swagger is the source of truth. FSD-only endpoints and fields absent from Swagger were not invented.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44 operations currently document HTTP 200 only; negative-case 4xx behavior is explicitly labelled inferred and exact status/error DTO requires confirmation.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Swagger declares no security scheme. Screening NFR transport controls are captured as deployment requirements and dedicated Partial security cases.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Deduplication and sanctions-configuration FSD scenarios without matching Swagger operations are out of this REST contract pack.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 declaration: OpenAPI has no components.securitySchemes and no operation security requirements; exact API-key/mTLS enforcement is deployment-specific.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Idempotency and correlation: NFR requires replay/idempotency and correlation_id, but OpenAPI declares no corresponding header or request field. No undocumented field was added.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Negative response contract: All operations document HTTP 200 only. Negative status and error DTO behavior is inferred and clearly labelled in Excel.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2026-08-25T07:37:40.409Z</dcterms:created>
  <dcterms:modified xsi:type="dcterms:W3CDTF">2026-08-25T07:37:40.409Z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