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api-testcase-pipeline — Agent Run Summary</w:t>
      </w:r>
    </w:p>
    <w:p>
      <w:pPr>
        <w:spacing w:after="120"/>
      </w:pPr>
      <w:r>
        <w:t xml:space="preserve">Generated: 2026-08-25T09:22:35.628Z</w:t>
      </w:r>
    </w:p>
    <w:p>
      <w:pPr>
        <w:spacing w:after="120"/>
      </w:pPr>
      <w:r>
        <w:t xml:space="preserve">Agent: api-testcase-pipeline</w:t>
      </w:r>
    </w:p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44 current Swagger operations across 43 unique paths independently fetched and enumerated.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153 API cases include functional, response-body, and timing/security expectations on every row.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Six Swagger operations were observed in live UI traffic; five matching rows were enriched with sanitized captured data and 38 operations remain uncaptured.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Body, Response Body, and Body Data Source are non-empty on all 153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Pass/fail depends on the response body, not the status code and timing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Payment, payment-rail, TM, and TM-ingestion NFRs were excluded.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Routes attempted: /screening/manual-screening, /screening/batch-screening, /screening/mis-reports, /configuration/sanction-screening-config, /configuration/watchlist-manager, /kyc/reference-data-registry/country, and /kyc/reference-data-registry/mb-country.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Captured Swagger operations: POST /api/v1/screening/manual; GET /api/v1/screening/workflow; GET /api/v1/screening/batch/active; GET /api/v1/screening/{screeningId}; GET /api/v1/screening/{screeningId}/matches; GET /api/v1/reference-data/enums.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Five testcase rows use Live UI network capture, 49 use OpenAPI schema sample, and 99 use Inferred error envelope.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manual-screening request returned HTTP 500 and was retained in the evidence manifest rather than substituted for a success testcase response.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MIS, screening-configuration, and watchlist pages called /api/kyc/screening-config paths that do not match this OpenAPI snapshot.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network-clear tool was advertised but unavailable at invocation; captures were isolated by direct route navigation, timestamps, and request indices.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Screening-related performance, TLS/mTLS, RBAC/SoD, API security, availability, active-active resilience, RPO/RTO, replay/idempotency, audit, and watchlist refresh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Excluded: Payment transactions, Payment rails, Transaction monitoring, TM ingestion, Payment sanctions 0.1/0.2/0.45-second percentile targets, Load/TPS/soak scenarios outside the default REST pack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Swagger is the source of truth. FSD-only endpoints and fields absent from Swagger were not invented.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44 operations currently document HTTP 200 only; negative-case 4xx behavior is explicitly labelled inferred and exact status/error DTO requires confirmation.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Swagger declares no security scheme. Screening NFR transport controls are captured as deployment requirements and dedicated Partial security cases.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Deduplication and sanctions-configuration FSD scenarios without matching Swagger operations are out of this REST contract pack.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 declaration: OpenAPI has no components.securitySchemes and no operation security requirements; exact API-key/mTLS enforcement is deployment-specific.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Idempotency and correlation: NFR requires replay/idempotency and correlation_id, but OpenAPI declares no corresponding header or request field. No undocumented field was added.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Negative response contract: All operations document HTTP 200 only. Negative status and error DTO behavior is inferred and clearly labelled in Excel.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2026-08-25T09:22:35.630Z</dcterms:created>
  <dcterms:modified xsi:type="dcterms:W3CDTF">2026-08-25T09:22:35.630Z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