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Execute &amp; Raise Defects — M1</w:t>
      </w:r>
    </w:p>
    <w:p>
      <w:pPr>
        <w:spacing w:after="120"/>
      </w:pPr>
      <w:r>
        <w:t xml:space="preserve">Generated: 2026-08-25T06:17:43.894Z</w:t>
      </w:r>
    </w:p>
    <w:p>
      <w:pPr>
        <w:spacing w:after="120"/>
      </w:pPr>
      <w:r>
        <w:t xml:space="preserve">Agent: execute-raise-defects</w:t>
      </w:r>
    </w:p>
    <w:p>
      <w:pPr>
        <w:pStyle w:val="Heading2"/>
        <w:spacing w:after="200"/>
      </w:pPr>
      <w:r>
        <w:t xml:space="preserve">Run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Spec / folder</w:t>
            </w:r>
          </w:p>
        </w:tc>
        <w:tc>
          <w:tcPr>
            <w:tcW w:type="pct" w:w="65%"/>
          </w:tcPr>
          <w:p>
            <w:r>
              <w:t xml:space="preserve">tests/milestone1/nfr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Milestone</w:t>
            </w:r>
          </w:p>
        </w:tc>
        <w:tc>
          <w:tcPr>
            <w:tcW w:type="pct" w:w="65%"/>
          </w:tcPr>
          <w:p>
            <w:r>
              <w:t xml:space="preserve">M1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Playwright exit code</w:t>
            </w:r>
          </w:p>
        </w:tc>
        <w:tc>
          <w:tcPr>
            <w:tcW w:type="pct" w:w="65%"/>
          </w:tcPr>
          <w:p>
            <w:r>
              <w:t xml:space="preserve">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Total cases</w:t>
            </w:r>
          </w:p>
        </w:tc>
        <w:tc>
          <w:tcPr>
            <w:tcW w:type="pct" w:w="65%"/>
          </w:tcPr>
          <w:p>
            <w:r>
              <w:t xml:space="preserve">18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Passed</w:t>
            </w:r>
          </w:p>
        </w:tc>
        <w:tc>
          <w:tcPr>
            <w:tcW w:type="pct" w:w="65%"/>
          </w:tcPr>
          <w:p>
            <w:r>
              <w:t xml:space="preserve">5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Failed</w:t>
            </w:r>
          </w:p>
        </w:tc>
        <w:tc>
          <w:tcPr>
            <w:tcW w:type="pct" w:w="65%"/>
          </w:tcPr>
          <w:p>
            <w:r>
              <w:t xml:space="preserve">13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Functional defect workbooks</w:t>
            </w:r>
          </w:p>
        </w:tc>
        <w:tc>
          <w:tcPr>
            <w:tcW w:type="pct" w:w="65%"/>
          </w:tcPr>
          <w:p>
            <w:r>
              <w:t xml:space="preserve">pipeline/test-data/Milestone1/Defects/batch-screening-nfr-defects.xlsx, pipeline/test-data/Milestone1/Defects/dedup-screening-nfr-defects.xlsx, pipeline/test-data/Milestone1/Defects/kyc-gap-report-nfr-defects.xlsx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Functional defects raised</w:t>
            </w:r>
          </w:p>
        </w:tc>
        <w:tc>
          <w:tcPr>
            <w:tcW w:type="pct" w:w="65%"/>
          </w:tcPr>
          <w:p>
            <w:r>
              <w:t xml:space="preserve">13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UI/cosmetic defects raised</w:t>
            </w:r>
          </w:p>
        </w:tc>
        <w:tc>
          <w:tcPr>
            <w:tcW w:type="pct" w:w="65%"/>
          </w:tcPr>
          <w:p>
            <w:r>
              <w:t xml:space="preserve">6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Screens UI-audited</w:t>
            </w:r>
          </w:p>
        </w:tc>
        <w:tc>
          <w:tcPr>
            <w:tcW w:type="pct" w:w="65%"/>
          </w:tcPr>
          <w:p>
            <w:r>
              <w:t xml:space="preserve">3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Google Defects sync</w:t>
            </w:r>
          </w:p>
        </w:tc>
        <w:tc>
          <w:tcPr>
            <w:tcW w:type="pct" w:w="65%"/>
          </w:tcPr>
          <w:p>
            <w:r>
              <w:t xml:space="preserve">AwaitingApproval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Google UI Defects sync</w:t>
            </w:r>
          </w:p>
        </w:tc>
        <w:tc>
          <w:tcPr>
            <w:tcW w:type="pct" w:w="65%"/>
          </w:tcPr>
          <w:p>
            <w:r>
              <w:t xml:space="preserve">AwaitingApproval</w:t>
            </w:r>
          </w:p>
        </w:tc>
      </w:tr>
    </w:tbl>
    <w:p/>
    <w:p>
      <w:pPr>
        <w:pStyle w:val="Heading2"/>
        <w:spacing w:after="200"/>
      </w:pPr>
      <w:r>
        <w:t xml:space="preserve">Failed test cases → functional defects raised</w:t>
      </w:r>
    </w:p>
    <w:p>
      <w:pPr>
        <w:spacing w:after="120"/>
      </w:pPr>
      <w:r>
        <w:t xml:space="preserve">Local defect Excel (Defects sheet) under pipeline/test-data/MilestoneN/Defects/. Google sync requires approval.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Test Case ID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Priority</w:t>
            </w:r>
          </w:p>
        </w:tc>
        <w:tc>
          <w:p>
            <w:r>
              <w:rPr>
                <w:b/>
                <w:bCs/>
              </w:rPr>
              <w:t xml:space="preserve">Module</w:t>
            </w:r>
          </w:p>
        </w:tc>
      </w:tr>
      <w:tr>
        <w:tc>
          <w:p>
            <w:r>
              <w:t xml:space="preserve">TC_NFR_001</w:t>
            </w:r>
          </w:p>
        </w:tc>
        <w:tc>
          <w:p>
            <w:r>
              <w:t xml:space="preserve">On the Batch Screening Nfr screen, while testing General Functionality, the user tried to test Case ID:TC_NFR_001 - Check that Match Results page loads within 1 second and scree...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Batch Screening Nfr</w:t>
            </w:r>
          </w:p>
        </w:tc>
      </w:tr>
      <w:tr>
        <w:tc>
          <w:p>
            <w:r>
              <w:t xml:space="preserve">TC_NFR_004</w:t>
            </w:r>
          </w:p>
        </w:tc>
        <w:tc>
          <w:p>
            <w:r>
              <w:t xml:space="preserve">On the Batch Screening Nfr screen, while testing General Functionality, the user tried to test Case ID:TC_NFR_004 - Verify Batch Screening enforces TLS encryption in transit, AE...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Batch Screening Nfr</w:t>
            </w:r>
          </w:p>
        </w:tc>
      </w:tr>
      <w:tr>
        <w:tc>
          <w:p>
            <w:r>
              <w:t xml:space="preserve">TC_NFR_005</w:t>
            </w:r>
          </w:p>
        </w:tc>
        <w:tc>
          <w:p>
            <w:r>
              <w:t xml:space="preserve">On the Batch Screening Nfr screen, while testing General Functionality, the user tried to test Case ID:TC_NFR_005 - Verify Batch Screening interactive elements meet WCAG 2.1 Lev...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Batch Screening Nfr</w:t>
            </w:r>
          </w:p>
        </w:tc>
      </w:tr>
      <w:tr>
        <w:tc>
          <w:p>
            <w:r>
              <w:t xml:space="preserve">TC_NFR_008</w:t>
            </w:r>
          </w:p>
        </w:tc>
        <w:tc>
          <w:p>
            <w:r>
              <w:t xml:space="preserve">On the Batch Screening Nfr screen, while testing General Functionality, the user tried to test Case ID:TC_NFR_008 - Verify Batch Screening state-changing actions produce an audi...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Batch Screening Nfr</w:t>
            </w:r>
          </w:p>
        </w:tc>
      </w:tr>
      <w:tr>
        <w:tc>
          <w:p>
            <w:r>
              <w:t xml:space="preserve">TC_NFR_015</w:t>
            </w:r>
          </w:p>
        </w:tc>
        <w:tc>
          <w:p>
            <w:r>
              <w:t xml:space="preserve">On the Dedup Screening Nfr screen, while testing General Functionality, the user tried to test Case ID:TC_NFR_015 - Verify that duplicate group remains consistent when multiple 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Dedup Screening Nfr</w:t>
            </w:r>
          </w:p>
        </w:tc>
      </w:tr>
      <w:tr>
        <w:tc>
          <w:p>
            <w:r>
              <w:t xml:space="preserve">TC_NFR_016</w:t>
            </w:r>
          </w:p>
        </w:tc>
        <w:tc>
          <w:p>
            <w:r>
              <w:t xml:space="preserve">On the Dedup Screening Nfr screen, while testing General Functionality, the user tried to test Case ID:TC_NFR_016 - Verify that match parameters consistency between report grid 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Dedup Screening Nfr</w:t>
            </w:r>
          </w:p>
        </w:tc>
      </w:tr>
      <w:tr>
        <w:tc>
          <w:p>
            <w:r>
              <w:t xml:space="preserve">TC_NFR_017</w:t>
            </w:r>
          </w:p>
        </w:tc>
        <w:tc>
          <w:p>
            <w:r>
              <w:t xml:space="preserve">On the Dedup Screening Nfr screen, while testing General Functionality, the user tried to test Case ID:TC_NFR_017 - Verify Usability NFR for Dedup Screening: Sidebar collapses o...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Dedup Screening Nfr</w:t>
            </w:r>
          </w:p>
        </w:tc>
      </w:tr>
      <w:tr>
        <w:tc>
          <w:p>
            <w:r>
              <w:t xml:space="preserve">TC_NFR_019</w:t>
            </w:r>
          </w:p>
        </w:tc>
        <w:tc>
          <w:p>
            <w:r>
              <w:t xml:space="preserve">On the Dedup Screening Nfr screen, while testing General Functionality, the user tried to test Case ID:TC_NFR_019 - Verify Accessibility NFR for Dedup Screening: Modal dismissib...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Dedup Screening Nfr</w:t>
            </w:r>
          </w:p>
        </w:tc>
      </w:tr>
      <w:tr>
        <w:tc>
          <w:p>
            <w:r>
              <w:t xml:space="preserve">TC_NFR_021</w:t>
            </w:r>
          </w:p>
        </w:tc>
        <w:tc>
          <w:p>
            <w:r>
              <w:t xml:space="preserve">On the Dedup Screening Nfr screen, while testing General Functionality, the user tried to test Case ID:TC_NFR_021 - Verify that PAN Number masking in exported reports meets data...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Dedup Screening Nfr</w:t>
            </w:r>
          </w:p>
        </w:tc>
      </w:tr>
      <w:tr>
        <w:tc>
          <w:p>
            <w:r>
              <w:t xml:space="preserve">TC_NFR_022</w:t>
            </w:r>
          </w:p>
        </w:tc>
        <w:tc>
          <w:p>
            <w:r>
              <w:t xml:space="preserve">On the Dedup Screening Nfr screen, while testing General Functionality, the user tried to test Case ID:TC_NFR_022 - Verify De-dup Screening report generation and export actions 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Dedup Screening Nfr</w:t>
            </w:r>
          </w:p>
        </w:tc>
      </w:tr>
      <w:tr>
        <w:tc>
          <w:p>
            <w:r>
              <w:t xml:space="preserve">TC_NFR_027</w:t>
            </w:r>
          </w:p>
        </w:tc>
        <w:tc>
          <w:p>
            <w:r>
              <w:t xml:space="preserve">On the Kyc Gap Report Nfr screen, while testing Tab Navigation, the user tried to test Case ID:TC_NFR_027 - Verify keyboard navigation reaches search, filters, grid, and paginat...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Kyc Gap Report Nfr</w:t>
            </w:r>
          </w:p>
        </w:tc>
      </w:tr>
      <w:tr>
        <w:tc>
          <w:p>
            <w:r>
              <w:t xml:space="preserve">TC_NFR_028</w:t>
            </w:r>
          </w:p>
        </w:tc>
        <w:tc>
          <w:p>
            <w:r>
              <w:t xml:space="preserve">On the Kyc Gap Report Nfr screen, while testing General Functionality, the user tried to test Case ID:TC_NFR_028 - Verify unauthenticated user cannot access KYC Gap Report URL.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Kyc Gap Report Nfr</w:t>
            </w:r>
          </w:p>
        </w:tc>
      </w:tr>
      <w:tr>
        <w:tc>
          <w:p>
            <w:r>
              <w:t xml:space="preserve">TC_NFR_029</w:t>
            </w:r>
          </w:p>
        </w:tc>
        <w:tc>
          <w:p>
            <w:r>
              <w:t xml:space="preserve">On the Kyc Gap Report Nfr screen, while testing General Functionality, the user tried to test Case ID:TC_NFR_029 - Verify audit log entry generated when field requirement change...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Kyc Gap Report Nfr</w:t>
            </w:r>
          </w:p>
        </w:tc>
      </w:tr>
    </w:tbl>
    <w:p/>
    <w:p>
      <w:pPr>
        <w:pStyle w:val="Heading2"/>
        <w:spacing w:after="200"/>
      </w:pPr>
      <w:r>
        <w:t xml:space="preserve">UI / UX / cosmetic defects</w:t>
      </w:r>
    </w:p>
    <w:p>
      <w:pPr>
        <w:spacing w:after="120"/>
      </w:pPr>
      <w:r>
        <w:t xml:space="preserve">Post-execute audit against Figma HTML + Stage 0 screenshot baselines. Rows appear on the UI Defects sheet in the same module workbook.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Defect ID</w:t>
            </w:r>
          </w:p>
        </w:tc>
        <w:tc>
          <w:p>
            <w:r>
              <w:rPr>
                <w:b/>
                <w:bCs/>
              </w:rPr>
              <w:t xml:space="preserve">Category</w:t>
            </w:r>
          </w:p>
        </w:tc>
        <w:tc>
          <w:p>
            <w:r>
              <w:rPr>
                <w:b/>
                <w:bCs/>
              </w:rPr>
              <w:t xml:space="preserve">Summary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Screen</w:t>
            </w:r>
          </w:p>
        </w:tc>
      </w:tr>
      <w:tr>
        <w:tc>
          <w:p>
            <w:r>
              <w:t xml:space="preserve">DEF-M1-UI-UNKNOW-001</w:t>
            </w:r>
          </w:p>
        </w:tc>
        <w:tc>
          <w:p>
            <w:r>
              <w:t xml:space="preserve">Accessibility</w:t>
            </w:r>
          </w:p>
        </w:tc>
        <w:tc>
          <w:p>
            <w:r>
              <w:t xml:space="preserve">On Customer Risk Rating Configuration — Category Weights &amp; Parameters — Category Weights &amp; Parameters, a button shows...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DEF-M1-UI-UNKNOW-002</w:t>
            </w:r>
          </w:p>
        </w:tc>
        <w:tc>
          <w:p>
            <w:r>
              <w:t xml:space="preserve">Alignment</w:t>
            </w:r>
          </w:p>
        </w:tc>
        <w:tc>
          <w:p>
            <w:r>
              <w:t xml:space="preserve">On Customer Risk Rating Configuration — Category Weights &amp; Parameters — Category sidebar (4.1–4.9), category number a...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DEF-M1-UI-UNKNOW-003</w:t>
            </w:r>
          </w:p>
        </w:tc>
        <w:tc>
          <w:p>
            <w:r>
              <w:t xml:space="preserve">Alignment</w:t>
            </w:r>
          </w:p>
        </w:tc>
        <w:tc>
          <w:p>
            <w:r>
              <w:t xml:space="preserve">On Customer Risk Rating Configuration — Category Weights &amp; Parameters — Parameter grid, a parameter name wraps to mul...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DEF-M1-UI-UNKNOW-004</w:t>
            </w:r>
          </w:p>
        </w:tc>
        <w:tc>
          <w:p>
            <w:r>
              <w:t xml:space="preserve">Accessibility</w:t>
            </w:r>
          </w:p>
        </w:tc>
        <w:tc>
          <w:p>
            <w:r>
              <w:t xml:space="preserve">On Customer Risk Rating Configuration — Category Weights &amp; Parameters, a form field has no visible label, so users ma...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DEF-M1-UI-UNKNOW-005</w:t>
            </w:r>
          </w:p>
        </w:tc>
        <w:tc>
          <w:p>
            <w:r>
              <w:t xml:space="preserve">Typography</w:t>
            </w:r>
          </w:p>
        </w:tc>
        <w:tc>
          <w:p>
            <w:r>
              <w:t xml:space="preserve">On Customer Risk Rating Configuration — Category Weights &amp; Parameters, some text is very small and may be hard to read.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DEF-M1-UI-UNKNOW-009</w:t>
            </w:r>
          </w:p>
        </w:tc>
        <w:tc>
          <w:p>
            <w:r>
              <w:t xml:space="preserve">Spacing</w:t>
            </w:r>
          </w:p>
        </w:tc>
        <w:tc>
          <w:p>
            <w:r>
              <w:t xml:space="preserve">On Customer Risk Rating Configuration — Category Weights &amp; Parameters, labels and fields in the same area do not line...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</w:tbl>
    <w:p/>
    <w:p>
      <w:pPr>
        <w:pStyle w:val="Heading2"/>
        <w:spacing w:after="200"/>
      </w:pPr>
      <w:r>
        <w:t xml:space="preserve">Google Sheet — functional defects</w:t>
      </w:r>
    </w:p>
    <w:p>
      <w:pPr>
        <w:spacing w:after="120"/>
      </w:pPr>
      <w:r>
        <w:t xml:space="preserve">Local defect Excel ready for review. After approval run:
  npm run qa:sync-defects-sheet -- --rows results/qa-pipeline/defects/milestone-1-defect-rows.json --approved</w:t>
      </w:r>
    </w:p>
    <w:p>
      <w:pPr>
        <w:pStyle w:val="Heading2"/>
        <w:spacing w:after="200"/>
      </w:pPr>
      <w:r>
        <w:t xml:space="preserve">Google Sheet — UI defects</w:t>
      </w:r>
    </w:p>
    <w:p>
      <w:pPr>
        <w:spacing w:after="120"/>
      </w:pPr>
      <w:r>
        <w:t xml:space="preserve">Review UI Defects sheet locally, then: npm run qa:sync-ui-defects-sheet -- --rows results/qa-pipeline/defects/milestone-1-ui-defect-rows.json --approved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2026-08-25T06:17:55.119Z</dcterms:created>
  <dcterms:modified xsi:type="dcterms:W3CDTF">2026-08-25T06:17:55.119Z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