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t xml:space="preserve">Execute &amp; Raise Defects — M1</w:t>
      </w:r>
    </w:p>
    <w:p>
      <w:pPr>
        <w:spacing w:after="120"/>
      </w:pPr>
      <w:r>
        <w:t xml:space="preserve">Generated: 2026-09-04T07:26:30.516Z</w:t>
      </w:r>
    </w:p>
    <w:p>
      <w:pPr>
        <w:spacing w:after="120"/>
      </w:pPr>
      <w:r>
        <w:t xml:space="preserve">Agent: execute-raise-defects</w:t>
      </w:r>
    </w:p>
    <w:p>
      <w:pPr>
        <w:pStyle w:val="Heading2"/>
        <w:spacing w:after="200"/>
      </w:pPr>
      <w:r>
        <w:t xml:space="preserve">Run overview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Spec / folder</w:t>
            </w:r>
          </w:p>
        </w:tc>
        <w:tc>
          <w:tcPr>
            <w:tcW w:type="pct" w:w="65%"/>
          </w:tcPr>
          <w:p>
            <w:r>
              <w:t xml:space="preserve">tests/milestone1/nfr/ui-nfr-tests.spec.ts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Milestone</w:t>
            </w:r>
          </w:p>
        </w:tc>
        <w:tc>
          <w:tcPr>
            <w:tcW w:type="pct" w:w="65%"/>
          </w:tcPr>
          <w:p>
            <w:r>
              <w:t xml:space="preserve">M1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Playwright exit code</w:t>
            </w:r>
          </w:p>
        </w:tc>
        <w:tc>
          <w:tcPr>
            <w:tcW w:type="pct" w:w="65%"/>
          </w:tcPr>
          <w:p>
            <w:r>
              <w:t xml:space="preserve">1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Total cases</w:t>
            </w:r>
          </w:p>
        </w:tc>
        <w:tc>
          <w:tcPr>
            <w:tcW w:type="pct" w:w="65%"/>
          </w:tcPr>
          <w:p>
            <w:r>
              <w:t xml:space="preserve">15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Passed</w:t>
            </w:r>
          </w:p>
        </w:tc>
        <w:tc>
          <w:tcPr>
            <w:tcW w:type="pct" w:w="65%"/>
          </w:tcPr>
          <w:p>
            <w:r>
              <w:t xml:space="preserve">1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Failed</w:t>
            </w:r>
          </w:p>
        </w:tc>
        <w:tc>
          <w:tcPr>
            <w:tcW w:type="pct" w:w="65%"/>
          </w:tcPr>
          <w:p>
            <w:r>
              <w:t xml:space="preserve">14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Functional defect workbooks</w:t>
            </w:r>
          </w:p>
        </w:tc>
        <w:tc>
          <w:tcPr>
            <w:tcW w:type="pct" w:w="65%"/>
          </w:tcPr>
          <w:p>
            <w:r>
              <w:t xml:space="preserve">pipeline/test-data/Milestone1/Defects/batch-screening-defects.xlsx, pipeline/test-data/Milestone1/Defects/manual-screening-defects.xlsx, pipeline/test-data/Milestone1/Defects/custom-list-manager-defects.xlsx, pipeline/test-data/Milestone1/Defects/exception-list-manager-defects.xlsx, pipeline/test-data/Milestone1/Defects/sanction-mis-reports-defects.xlsx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Functional defects raised</w:t>
            </w:r>
          </w:p>
        </w:tc>
        <w:tc>
          <w:tcPr>
            <w:tcW w:type="pct" w:w="65%"/>
          </w:tcPr>
          <w:p>
            <w:r>
              <w:t xml:space="preserve">14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UI/cosmetic defects raised</w:t>
            </w:r>
          </w:p>
        </w:tc>
        <w:tc>
          <w:tcPr>
            <w:tcW w:type="pct" w:w="65%"/>
          </w:tcPr>
          <w:p>
            <w:r>
              <w:t xml:space="preserve">7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Screens UI-audited</w:t>
            </w:r>
          </w:p>
        </w:tc>
        <w:tc>
          <w:tcPr>
            <w:tcW w:type="pct" w:w="65%"/>
          </w:tcPr>
          <w:p>
            <w:r>
              <w:t xml:space="preserve">5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Google Defects sync</w:t>
            </w:r>
          </w:p>
        </w:tc>
        <w:tc>
          <w:tcPr>
            <w:tcW w:type="pct" w:w="65%"/>
          </w:tcPr>
          <w:p>
            <w:r>
              <w:t xml:space="preserve">AwaitingApproval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Google UI Defects sync</w:t>
            </w:r>
          </w:p>
        </w:tc>
        <w:tc>
          <w:tcPr>
            <w:tcW w:type="pct" w:w="65%"/>
          </w:tcPr>
          <w:p>
            <w:r>
              <w:t xml:space="preserve">AwaitingApproval</w:t>
            </w:r>
          </w:p>
        </w:tc>
      </w:tr>
    </w:tbl>
    <w:p/>
    <w:p>
      <w:pPr>
        <w:pStyle w:val="Heading2"/>
        <w:spacing w:after="200"/>
      </w:pPr>
      <w:r>
        <w:t xml:space="preserve">Failed test cases → functional defects raised</w:t>
      </w:r>
    </w:p>
    <w:p>
      <w:pPr>
        <w:spacing w:after="120"/>
      </w:pPr>
      <w:r>
        <w:t xml:space="preserve">Local defect Excel (Defects sheet) under pipeline/test-data/MilestoneN/Defects/. Google sync requires approval.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Test Case ID</w:t>
            </w:r>
          </w:p>
        </w:tc>
        <w:tc>
          <w:p>
            <w:r>
              <w:rPr>
                <w:b/>
                <w:bCs/>
              </w:rPr>
              <w:t xml:space="preserve">Description</w:t>
            </w:r>
          </w:p>
        </w:tc>
        <w:tc>
          <w:p>
            <w:r>
              <w:rPr>
                <w:b/>
                <w:bCs/>
              </w:rPr>
              <w:t xml:space="preserve">Severity</w:t>
            </w:r>
          </w:p>
        </w:tc>
        <w:tc>
          <w:p>
            <w:r>
              <w:rPr>
                <w:b/>
                <w:bCs/>
              </w:rPr>
              <w:t xml:space="preserve">Priority</w:t>
            </w:r>
          </w:p>
        </w:tc>
        <w:tc>
          <w:p>
            <w:r>
              <w:rPr>
                <w:b/>
                <w:bCs/>
              </w:rPr>
              <w:t xml:space="preserve">Module</w:t>
            </w:r>
          </w:p>
        </w:tc>
      </w:tr>
      <w:tr>
        <w:tc>
          <w:p>
            <w:r>
              <w:t xml:space="preserve">TC_NFR_001</w:t>
            </w:r>
          </w:p>
        </w:tc>
        <w:tc>
          <w:p>
            <w:r>
              <w:t xml:space="preserve">On the Batch Screening screen, while testing General Functionality, the user tried to check that Match Results page loads within 1 second and screening results return within 2 s...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Critical</w:t>
            </w:r>
          </w:p>
        </w:tc>
        <w:tc>
          <w:p>
            <w:r>
              <w:t xml:space="preserve">Batch Screening</w:t>
            </w:r>
          </w:p>
        </w:tc>
      </w:tr>
      <w:tr>
        <w:tc>
          <w:p>
            <w:r>
              <w:t xml:space="preserve">TC_NFR_074</w:t>
            </w:r>
          </w:p>
        </w:tc>
        <w:tc>
          <w:p>
            <w:r>
              <w:t xml:space="preserve">On the Batch Screening screen, while testing Tab Navigation, the user tried to verify Batch upload flow on Batch Screening is ready within acceptable UI response time. A menu it...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Batch Screening</w:t>
            </w:r>
          </w:p>
        </w:tc>
      </w:tr>
      <w:tr>
        <w:tc>
          <w:p>
            <w:r>
              <w:t xml:space="preserve">TC_NFR_034</w:t>
            </w:r>
          </w:p>
        </w:tc>
        <w:tc>
          <w:p>
            <w:r>
              <w:t xml:space="preserve">On the Manual Screening screen, while testing General Functionality, the user tried to verify results page load time after screening completion meets the platform UI target. Som...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Manual Screening</w:t>
            </w:r>
          </w:p>
        </w:tc>
      </w:tr>
      <w:tr>
        <w:tc>
          <w:p>
            <w:r>
              <w:t xml:space="preserve">TC_NFR_044</w:t>
            </w:r>
          </w:p>
        </w:tc>
        <w:tc>
          <w:p>
            <w:r>
              <w:t xml:space="preserve">On the Manual Screening screen, while testing Tab Navigation, the user tried to verify Usability NFR for Manual Screening: The results table must support row hover highlighting....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Manual Screening</w:t>
            </w:r>
          </w:p>
        </w:tc>
      </w:tr>
      <w:tr>
        <w:tc>
          <w:p>
            <w:r>
              <w:t xml:space="preserve">TC_NFR_035</w:t>
            </w:r>
          </w:p>
        </w:tc>
        <w:tc>
          <w:p>
            <w:r>
              <w:t xml:space="preserve">On the Manual Screening screen, while testing General Functionality, the user tried to verify screening completion to results-ready time on the Screening Results page. Something...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Manual Screening</w:t>
            </w:r>
          </w:p>
        </w:tc>
      </w:tr>
      <w:tr>
        <w:tc>
          <w:p>
            <w:r>
              <w:t xml:space="preserve">TC_NFR_036</w:t>
            </w:r>
          </w:p>
        </w:tc>
        <w:tc>
          <w:p>
            <w:r>
              <w:t xml:space="preserve">On the Manual Screening screen, while testing General Functionality, the user tried to verify that filter response time remains within the client-side performance target on the 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Manual Screening</w:t>
            </w:r>
          </w:p>
        </w:tc>
      </w:tr>
      <w:tr>
        <w:tc>
          <w:p>
            <w:r>
              <w:t xml:space="preserve">TC_NFR_037</w:t>
            </w:r>
          </w:p>
        </w:tc>
        <w:tc>
          <w:p>
            <w:r>
              <w:t xml:space="preserve">On the Manual Screening screen, while testing Tab Navigation, the user tried to verify client-side filter response on the results table completes within 300 milliseconds. Someth...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Manual Screening</w:t>
            </w:r>
          </w:p>
        </w:tc>
      </w:tr>
      <w:tr>
        <w:tc>
          <w:p>
            <w:r>
              <w:t xml:space="preserve">TC_NFR_038</w:t>
            </w:r>
          </w:p>
        </w:tc>
        <w:tc>
          <w:p>
            <w:r>
              <w:t xml:space="preserve">On the Manual Screening screen, while testing Tab Navigation, the user tried to verify AI summary generation begins and loading state appears within acceptable time after screen...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Manual Screening</w:t>
            </w:r>
          </w:p>
        </w:tc>
      </w:tr>
      <w:tr>
        <w:tc>
          <w:p>
            <w:r>
              <w:t xml:space="preserve">TC_NFR_042</w:t>
            </w:r>
          </w:p>
        </w:tc>
        <w:tc>
          <w:p>
            <w:r>
              <w:t xml:space="preserve">On the Manual Screening screen, while testing Tab Navigation, the user tried to verify entity toggle, tabs, and watchlist card selections provide immediate visual feedback withi...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Manual Screening</w:t>
            </w:r>
          </w:p>
        </w:tc>
      </w:tr>
      <w:tr>
        <w:tc>
          <w:p>
            <w:r>
              <w:t xml:space="preserve">TC_NFR_152</w:t>
            </w:r>
          </w:p>
        </w:tc>
        <w:tc>
          <w:p>
            <w:r>
              <w:t xml:space="preserve">On the Custom List Manager screen, while testing General Functionality, the user tried to verify critical form fields on Custom List Manager are ready within platform field rend...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Custom List Manager</w:t>
            </w:r>
          </w:p>
        </w:tc>
      </w:tr>
      <w:tr>
        <w:tc>
          <w:p>
            <w:r>
              <w:t xml:space="preserve">TC_NFR_158</w:t>
            </w:r>
          </w:p>
        </w:tc>
        <w:tc>
          <w:p>
            <w:r>
              <w:t xml:space="preserve">On the Custom List Manager screen, while testing Tab Navigation, the user tried to verify Create list flow on Custom List Manager is ready within acceptable UI response time. So...</w:t>
            </w:r>
          </w:p>
        </w:tc>
        <w:tc>
          <w:p>
            <w:r>
              <w:t xml:space="preserve">Critical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Custom List Manager</w:t>
            </w:r>
          </w:p>
        </w:tc>
      </w:tr>
      <w:tr>
        <w:tc>
          <w:p>
            <w:r>
              <w:t xml:space="preserve">TC_NFR_169</w:t>
            </w:r>
          </w:p>
        </w:tc>
        <w:tc>
          <w:p>
            <w:r>
              <w:t xml:space="preserve">On the Exception List Manager screen, while testing Tab Navigation, the user tried to verify Add exception modal on Exception List Manager is ready within acceptable UI response...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Exception List Manager</w:t>
            </w:r>
          </w:p>
        </w:tc>
      </w:tr>
      <w:tr>
        <w:tc>
          <w:p>
            <w:r>
              <w:t xml:space="preserve">TC_NFR_191</w:t>
            </w:r>
          </w:p>
        </w:tc>
        <w:tc>
          <w:p>
            <w:r>
              <w:t xml:space="preserve">On the Sanction MIS Reports screen, while testing Tab Navigation, the user tried to verify Report export flow on Sanction MIS Reports is ready within acceptable UI response time...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Sanction MIS Reports</w:t>
            </w:r>
          </w:p>
        </w:tc>
      </w:tr>
      <w:tr>
        <w:tc>
          <w:p>
            <w:r>
              <w:t xml:space="preserve">TC_NFR_185</w:t>
            </w:r>
          </w:p>
        </w:tc>
        <w:tc>
          <w:p>
            <w:r>
              <w:t xml:space="preserve">On the Sanction MIS Reports screen, while testing General Functionality, the user tried to verify export from Sanction MIS Reports completes within platform export time target. 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Sanction MIS Reports</w:t>
            </w:r>
          </w:p>
        </w:tc>
      </w:tr>
    </w:tbl>
    <w:p/>
    <w:p>
      <w:pPr>
        <w:pStyle w:val="Heading2"/>
        <w:spacing w:after="200"/>
      </w:pPr>
      <w:r>
        <w:t xml:space="preserve">UI / UX / cosmetic defects</w:t>
      </w:r>
    </w:p>
    <w:p>
      <w:pPr>
        <w:spacing w:after="120"/>
      </w:pPr>
      <w:r>
        <w:t xml:space="preserve">Post-execute audit against Figma HTML + Stage 0 screenshot baselines. Rows appear on the UI Defects sheet in the same module workbook.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Defect ID</w:t>
            </w:r>
          </w:p>
        </w:tc>
        <w:tc>
          <w:p>
            <w:r>
              <w:rPr>
                <w:b/>
                <w:bCs/>
              </w:rPr>
              <w:t xml:space="preserve">Category</w:t>
            </w:r>
          </w:p>
        </w:tc>
        <w:tc>
          <w:p>
            <w:r>
              <w:rPr>
                <w:b/>
                <w:bCs/>
              </w:rPr>
              <w:t xml:space="preserve">Summary</w:t>
            </w:r>
          </w:p>
        </w:tc>
        <w:tc>
          <w:p>
            <w:r>
              <w:rPr>
                <w:b/>
                <w:bCs/>
              </w:rPr>
              <w:t xml:space="preserve">Severity</w:t>
            </w:r>
          </w:p>
        </w:tc>
        <w:tc>
          <w:p>
            <w:r>
              <w:rPr>
                <w:b/>
                <w:bCs/>
              </w:rPr>
              <w:t xml:space="preserve">Screen</w:t>
            </w:r>
          </w:p>
        </w:tc>
      </w:tr>
      <w:tr>
        <w:tc>
          <w:p>
            <w:r>
              <w:t xml:space="preserve">DEF-M1-UI-UNKNOW-001</w:t>
            </w:r>
          </w:p>
        </w:tc>
        <w:tc>
          <w:p>
            <w:r>
              <w:t xml:space="preserve">Accessibility</w:t>
            </w:r>
          </w:p>
        </w:tc>
        <w:tc>
          <w:p>
            <w:r>
              <w:t xml:space="preserve">On Customer Risk Rating Configuration — Category Weights &amp; Parameters — Category Weights &amp; Parameters, a button shows...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https://kadelamldev.customerxps.com:2506/configuration/customer-risk-categori...</w:t>
            </w:r>
          </w:p>
        </w:tc>
      </w:tr>
      <w:tr>
        <w:tc>
          <w:p>
            <w:r>
              <w:t xml:space="preserve">DEF-M1-UI-UNKNOW-002</w:t>
            </w:r>
          </w:p>
        </w:tc>
        <w:tc>
          <w:p>
            <w:r>
              <w:t xml:space="preserve">Alignment</w:t>
            </w:r>
          </w:p>
        </w:tc>
        <w:tc>
          <w:p>
            <w:r>
              <w:t xml:space="preserve">On Customer Risk Rating Configuration — Category Weights &amp; Parameters — Category sidebar (4.1–4.9), category number a...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https://kadelamldev.customerxps.com:2506/configuration/customer-risk-categori...</w:t>
            </w:r>
          </w:p>
        </w:tc>
      </w:tr>
      <w:tr>
        <w:tc>
          <w:p>
            <w:r>
              <w:t xml:space="preserve">DEF-M1-UI-UNKNOW-003</w:t>
            </w:r>
          </w:p>
        </w:tc>
        <w:tc>
          <w:p>
            <w:r>
              <w:t xml:space="preserve">Alignment</w:t>
            </w:r>
          </w:p>
        </w:tc>
        <w:tc>
          <w:p>
            <w:r>
              <w:t xml:space="preserve">On Customer Risk Rating Configuration — Category Weights &amp; Parameters — Parameter grid, a parameter name wraps to mul...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https://kadelamldev.customerxps.com:2506/configuration/customer-risk-categori...</w:t>
            </w:r>
          </w:p>
        </w:tc>
      </w:tr>
      <w:tr>
        <w:tc>
          <w:p>
            <w:r>
              <w:t xml:space="preserve">DEF-M1-UI-UNKNOW-004</w:t>
            </w:r>
          </w:p>
        </w:tc>
        <w:tc>
          <w:p>
            <w:r>
              <w:t xml:space="preserve">Accessibility</w:t>
            </w:r>
          </w:p>
        </w:tc>
        <w:tc>
          <w:p>
            <w:r>
              <w:t xml:space="preserve">On https://kadelamldev.customerxps.com:2506/kyc/kyc-gap-report — main content area, a button shows only an icon (or b...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https://kadelamldev.customerxps.com:2506/kyc/kyc-gap-report</w:t>
            </w:r>
          </w:p>
        </w:tc>
      </w:tr>
      <w:tr>
        <w:tc>
          <w:p>
            <w:r>
              <w:t xml:space="preserve">DEF-M1-UI-UNKNOW-005</w:t>
            </w:r>
          </w:p>
        </w:tc>
        <w:tc>
          <w:p>
            <w:r>
              <w:t xml:space="preserve">Accessibility</w:t>
            </w:r>
          </w:p>
        </w:tc>
        <w:tc>
          <w:p>
            <w:r>
              <w:t xml:space="preserve">On Customer Risk Rating Configuration — Category Weights &amp; Parameters, a form field has no visible label, so users ma...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https://kadelamldev.customerxps.com:2506/configuration/customer-risk-categori...</w:t>
            </w:r>
          </w:p>
        </w:tc>
      </w:tr>
      <w:tr>
        <w:tc>
          <w:p>
            <w:r>
              <w:t xml:space="preserve">DEF-M1-UI-UNKNOW-006</w:t>
            </w:r>
          </w:p>
        </w:tc>
        <w:tc>
          <w:p>
            <w:r>
              <w:t xml:space="preserve">Typography</w:t>
            </w:r>
          </w:p>
        </w:tc>
        <w:tc>
          <w:p>
            <w:r>
              <w:t xml:space="preserve">On Customer Risk Rating Configuration — Category Weights &amp; Parameters, some text is very small and may be hard to read.</w:t>
            </w:r>
          </w:p>
        </w:tc>
        <w:tc>
          <w:p>
            <w:r>
              <w:t xml:space="preserve">Low</w:t>
            </w:r>
          </w:p>
        </w:tc>
        <w:tc>
          <w:p>
            <w:r>
              <w:t xml:space="preserve">https://kadelamldev.customerxps.com:2506/configuration/customer-risk-categori...</w:t>
            </w:r>
          </w:p>
        </w:tc>
      </w:tr>
      <w:tr>
        <w:tc>
          <w:p>
            <w:r>
              <w:t xml:space="preserve">DEF-M1-UI-UNKNOW-010</w:t>
            </w:r>
          </w:p>
        </w:tc>
        <w:tc>
          <w:p>
            <w:r>
              <w:t xml:space="preserve">Spacing</w:t>
            </w:r>
          </w:p>
        </w:tc>
        <w:tc>
          <w:p>
            <w:r>
              <w:t xml:space="preserve">On Customer Risk Rating Configuration — Category Weights &amp; Parameters, labels and fields in the same area do not line...</w:t>
            </w:r>
          </w:p>
        </w:tc>
        <w:tc>
          <w:p>
            <w:r>
              <w:t xml:space="preserve">Low</w:t>
            </w:r>
          </w:p>
        </w:tc>
        <w:tc>
          <w:p>
            <w:r>
              <w:t xml:space="preserve">https://kadelamldev.customerxps.com:2506/configuration/customer-risk-categori...</w:t>
            </w:r>
          </w:p>
        </w:tc>
      </w:tr>
    </w:tbl>
    <w:p/>
    <w:p>
      <w:pPr>
        <w:pStyle w:val="Heading2"/>
        <w:spacing w:after="200"/>
      </w:pPr>
      <w:r>
        <w:t xml:space="preserve">Google Sheet — functional defects</w:t>
      </w:r>
    </w:p>
    <w:p>
      <w:pPr>
        <w:spacing w:after="120"/>
      </w:pPr>
      <w:r>
        <w:t xml:space="preserve">Local defect Excel ready for review. After approval run:
  npm run qa:sync-defects-sheet -- --rows results/qa-pipeline/defects/milestone-1-defect-rows.json --approved</w:t>
      </w:r>
    </w:p>
    <w:p>
      <w:pPr>
        <w:pStyle w:val="Heading2"/>
        <w:spacing w:after="200"/>
      </w:pPr>
      <w:r>
        <w:t xml:space="preserve">Google Sheet — UI defects</w:t>
      </w:r>
    </w:p>
    <w:p>
      <w:pPr>
        <w:spacing w:after="120"/>
      </w:pPr>
      <w:r>
        <w:t xml:space="preserve">Review UI Defects sheet locally, then: npm run qa:sync-ui-defects-sheet -- --rows results/qa-pipeline/defects/milestone-1-ui-defect-rows.json --approved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2026-09-04T07:27:08.908Z</dcterms:created>
  <dcterms:modified xsi:type="dcterms:W3CDTF">2026-09-04T07:27:08.908Z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