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QA Automation Pipeline — NFR Test Cases</w:t>
      </w:r>
    </w:p>
    <w:p>
      <w:pPr>
        <w:spacing w:after="120"/>
      </w:pPr>
      <w:r>
        <w:t xml:space="preserve">Generated: 2026-08-24T09:29:04Z</w:t>
      </w:r>
    </w:p>
    <w:p>
      <w:pPr>
        <w:spacing w:after="120"/>
      </w:pPr>
      <w:r>
        <w:t xml:space="preserve">Agent: qa-automation-pipeline</w:t>
      </w:r>
    </w:p>
    <w:p>
      <w:pPr>
        <w:pStyle w:val="Heading2"/>
        <w:spacing w:after="200"/>
      </w:pPr>
      <w:r>
        <w:t xml:space="preserve">Run overview</w:t>
      </w:r>
    </w:p>
    <w:tbl>
      <w:tblPr>
        <w:tblW w:type="pct" w:w="100%"/>
        <w:tblBorders>
          <w:top w:val="single" w:sz="1"/>
          <w:left w:val="single" w:sz="1"/>
          <w:bottom w:val="single" w:sz="1"/>
          <w:right w:val="single" w:sz="1"/>
          <w:insideH w:val="single" w:sz="1"/>
          <w:insideV w:val="single" w:sz="1"/>
        </w:tblBorders>
      </w:tblPr>
      <w:tblGrid>
        <w:gridCol w:w="100"/>
        <w:gridCol w:w="100"/>
      </w:tblGrid>
      <w:tr>
        <w:tc>
          <w:tcPr>
            <w:tcW w:type="pct" w:w="35%"/>
          </w:tcPr>
          <w:p>
            <w:r>
              <w:rPr>
                <w:b/>
                <w:bCs/>
              </w:rPr>
              <w:t xml:space="preserve">Status</w:t>
            </w:r>
          </w:p>
        </w:tc>
        <w:tc>
          <w:tcPr>
            <w:tcW w:type="pct" w:w="65%"/>
          </w:tcPr>
          <w:p>
            <w:r>
              <w:t xml:space="preserve">Blocked at mechanical validation</w:t>
            </w:r>
          </w:p>
        </w:tc>
      </w:tr>
      <w:tr>
        <w:tc>
          <w:tcPr>
            <w:tcW w:type="pct" w:w="35%"/>
          </w:tcPr>
          <w:p>
            <w:r>
              <w:rPr>
                <w:b/>
                <w:bCs/>
              </w:rPr>
              <w:t xml:space="preserve">Approved workbook</w:t>
            </w:r>
          </w:p>
        </w:tc>
        <w:tc>
          <w:tcPr>
            <w:tcW w:type="pct" w:w="65%"/>
          </w:tcPr>
          <w:p>
            <w:r>
              <w:t xml:space="preserve">/home/rishu/AML_Automation/pipeline/test-data/Milestone1/Test Cases/NFR Test Cases.xlsx</w:t>
            </w:r>
          </w:p>
        </w:tc>
      </w:tr>
      <w:tr>
        <w:tc>
          <w:tcPr>
            <w:tcW w:type="pct" w:w="35%"/>
          </w:tcPr>
          <w:p>
            <w:r>
              <w:rPr>
                <w:b/>
                <w:bCs/>
              </w:rPr>
              <w:t xml:space="preserve">Results root</w:t>
            </w:r>
          </w:p>
        </w:tc>
        <w:tc>
          <w:tcPr>
            <w:tcW w:type="pct" w:w="65%"/>
          </w:tcPr>
          <w:p>
            <w:r>
              <w:t xml:space="preserve">results/qa-pipeline/NFR Test Cases</w:t>
            </w:r>
          </w:p>
        </w:tc>
      </w:tr>
      <w:tr>
        <w:tc>
          <w:tcPr>
            <w:tcW w:type="pct" w:w="35%"/>
          </w:tcPr>
          <w:p>
            <w:r>
              <w:rPr>
                <w:b/>
                <w:bCs/>
              </w:rPr>
              <w:t xml:space="preserve">Milestone</w:t>
            </w:r>
          </w:p>
        </w:tc>
        <w:tc>
          <w:tcPr>
            <w:tcW w:type="pct" w:w="65%"/>
          </w:tcPr>
          <w:p>
            <w:r>
              <w:t xml:space="preserve">Milestone 1</w:t>
            </w:r>
          </w:p>
        </w:tc>
      </w:tr>
      <w:tr>
        <w:tc>
          <w:tcPr>
            <w:tcW w:type="pct" w:w="35%"/>
          </w:tcPr>
          <w:p>
            <w:r>
              <w:rPr>
                <w:b/>
                <w:bCs/>
              </w:rPr>
              <w:t xml:space="preserve">Environment</w:t>
            </w:r>
          </w:p>
        </w:tc>
        <w:tc>
          <w:tcPr>
            <w:tcW w:type="pct" w:w="65%"/>
          </w:tcPr>
          <w:p>
            <w:r>
              <w:t xml:space="preserve">dev</w:t>
            </w:r>
          </w:p>
        </w:tc>
      </w:tr>
      <w:tr>
        <w:tc>
          <w:tcPr>
            <w:tcW w:type="pct" w:w="35%"/>
          </w:tcPr>
          <w:p>
            <w:r>
              <w:rPr>
                <w:b/>
                <w:bCs/>
              </w:rPr>
              <w:t xml:space="preserve">BASE_URL</w:t>
            </w:r>
          </w:p>
        </w:tc>
        <w:tc>
          <w:tcPr>
            <w:tcW w:type="pct" w:w="65%"/>
          </w:tcPr>
          <w:p>
            <w:r>
              <w:t xml:space="preserve">https://kadelamldev.customerxps.com:2506</w:t>
            </w:r>
          </w:p>
        </w:tc>
      </w:tr>
      <w:tr>
        <w:tc>
          <w:tcPr>
            <w:tcW w:type="pct" w:w="35%"/>
          </w:tcPr>
          <w:p>
            <w:r>
              <w:rPr>
                <w:b/>
                <w:bCs/>
              </w:rPr>
              <w:t xml:space="preserve">Authentication</w:t>
            </w:r>
          </w:p>
        </w:tc>
        <w:tc>
          <w:tcPr>
            <w:tcW w:type="pct" w:w="65%"/>
          </w:tcPr>
          <w:p>
            <w:r>
              <w:t xml:space="preserve">Bypassed</w:t>
            </w:r>
          </w:p>
        </w:tc>
      </w:tr>
      <w:tr>
        <w:tc>
          <w:tcPr>
            <w:tcW w:type="pct" w:w="35%"/>
          </w:tcPr>
          <w:p>
            <w:r>
              <w:rPr>
                <w:b/>
                <w:bCs/>
              </w:rPr>
              <w:t xml:space="preserve">Batch 1</w:t>
            </w:r>
          </w:p>
        </w:tc>
        <w:tc>
          <w:tcPr>
            <w:tcW w:type="pct" w:w="65%"/>
          </w:tcPr>
          <w:p>
            <w:r>
              <w:t xml:space="preserve">Not started</w:t>
            </w:r>
          </w:p>
        </w:tc>
      </w:tr>
    </w:tbl>
    <w:p/>
    <w:p>
      <w:pPr>
        <w:pStyle w:val="Heading2"/>
        <w:spacing w:after="200"/>
      </w:pPr>
      <w:r>
        <w:t xml:space="preserve">Highlights</w:t>
      </w:r>
    </w:p>
    <w:p>
      <w:pPr>
        <w:pStyle w:val="ListParagraph"/>
        <w:numPr>
          <w:ilvl w:val="0"/>
          <w:numId w:val="1"/>
        </w:numPr>
        <w:spacing w:after="80"/>
      </w:pPr>
      <w:r>
        <w:t xml:space="preserve">The prescribed Node/xlsx validation command completed and wrote a mechanical validation report.</w:t>
      </w:r>
    </w:p>
    <w:p>
      <w:pPr>
        <w:pStyle w:val="ListParagraph"/>
        <w:numPr>
          <w:ilvl w:val="0"/>
          <w:numId w:val="1"/>
        </w:numPr>
        <w:spacing w:after="80"/>
      </w:pPr>
      <w:r>
        <w:t xml:space="preserve">The parser selected the first worksheet, Readme, which is workbook metadata rather than test cases.</w:t>
      </w:r>
    </w:p>
    <w:p>
      <w:pPr>
        <w:pStyle w:val="ListParagraph"/>
        <w:numPr>
          <w:ilvl w:val="0"/>
          <w:numId w:val="1"/>
        </w:numPr>
        <w:spacing w:after="80"/>
      </w:pPr>
      <w:r>
        <w:t xml:space="preserve">Validation found 0 valid rows and 1 invalid metadata row, so normalization, batching, generation, live UI validation, Excel fidelity auditing, execution, and healing were not started.</w:t>
      </w:r>
    </w:p>
    <w:p>
      <w:pPr>
        <w:pStyle w:val="ListParagraph"/>
        <w:numPr>
          <w:ilvl w:val="0"/>
          <w:numId w:val="1"/>
        </w:numPr>
        <w:spacing w:after="80"/>
      </w:pPr>
      <w:r>
        <w:t xml:space="preserve">The approved workbook was not modified.</w:t>
      </w:r>
    </w:p>
    <w:p>
      <w:pPr>
        <w:pStyle w:val="Heading2"/>
        <w:spacing w:after="200"/>
      </w:pPr>
      <w:r>
        <w:t xml:space="preserve">Validation evidence</w:t>
      </w:r>
    </w:p>
    <w:tbl>
      <w:tblPr>
        <w:tblW w:type="pct" w:w="100%"/>
        <w:tblBorders>
          <w:top w:val="single" w:sz="1"/>
          <w:left w:val="single" w:sz="1"/>
          <w:bottom w:val="single" w:sz="1"/>
          <w:right w:val="single" w:sz="1"/>
          <w:insideH w:val="single" w:sz="1"/>
          <w:insideV w:val="single" w:sz="1"/>
        </w:tblBorders>
      </w:tblPr>
      <w:tblGrid>
        <w:gridCol w:w="100"/>
        <w:gridCol w:w="100"/>
      </w:tblGrid>
      <w:tr>
        <w:tc>
          <w:tcPr>
            <w:tcW w:type="pct" w:w="35%"/>
          </w:tcPr>
          <w:p>
            <w:r>
              <w:rPr>
                <w:b/>
                <w:bCs/>
              </w:rPr>
              <w:t xml:space="preserve">Mechanical report</w:t>
            </w:r>
          </w:p>
        </w:tc>
        <w:tc>
          <w:tcPr>
            <w:tcW w:type="pct" w:w="65%"/>
          </w:tcPr>
          <w:p>
            <w:r>
              <w:t xml:space="preserve">results/qa-pipeline/NFR Test Cases/validation/validation-report.json</w:t>
            </w:r>
          </w:p>
        </w:tc>
      </w:tr>
      <w:tr>
        <w:tc>
          <w:tcPr>
            <w:tcW w:type="pct" w:w="35%"/>
          </w:tcPr>
          <w:p>
            <w:r>
              <w:rPr>
                <w:b/>
                <w:bCs/>
              </w:rPr>
              <w:t xml:space="preserve">Selected worksheet</w:t>
            </w:r>
          </w:p>
        </w:tc>
        <w:tc>
          <w:tcPr>
            <w:tcW w:type="pct" w:w="65%"/>
          </w:tcPr>
          <w:p>
            <w:r>
              <w:t xml:space="preserve">Readme</w:t>
            </w:r>
          </w:p>
        </w:tc>
      </w:tr>
      <w:tr>
        <w:tc>
          <w:tcPr>
            <w:tcW w:type="pct" w:w="35%"/>
          </w:tcPr>
          <w:p>
            <w:r>
              <w:rPr>
                <w:b/>
                <w:bCs/>
              </w:rPr>
              <w:t xml:space="preserve">Valid</w:t>
            </w:r>
          </w:p>
        </w:tc>
        <w:tc>
          <w:tcPr>
            <w:tcW w:type="pct" w:w="65%"/>
          </w:tcPr>
          <w:p>
            <w:r>
              <w:t xml:space="preserve">0</w:t>
            </w:r>
          </w:p>
        </w:tc>
      </w:tr>
      <w:tr>
        <w:tc>
          <w:tcPr>
            <w:tcW w:type="pct" w:w="35%"/>
          </w:tcPr>
          <w:p>
            <w:r>
              <w:rPr>
                <w:b/>
                <w:bCs/>
              </w:rPr>
              <w:t xml:space="preserve">Valid with warnings</w:t>
            </w:r>
          </w:p>
        </w:tc>
        <w:tc>
          <w:tcPr>
            <w:tcW w:type="pct" w:w="65%"/>
          </w:tcPr>
          <w:p>
            <w:r>
              <w:t xml:space="preserve">0</w:t>
            </w:r>
          </w:p>
        </w:tc>
      </w:tr>
      <w:tr>
        <w:tc>
          <w:tcPr>
            <w:tcW w:type="pct" w:w="35%"/>
          </w:tcPr>
          <w:p>
            <w:r>
              <w:rPr>
                <w:b/>
                <w:bCs/>
              </w:rPr>
              <w:t xml:space="preserve">Invalid</w:t>
            </w:r>
          </w:p>
        </w:tc>
        <w:tc>
          <w:tcPr>
            <w:tcW w:type="pct" w:w="65%"/>
          </w:tcPr>
          <w:p>
            <w:r>
              <w:t xml:space="preserve">1</w:t>
            </w:r>
          </w:p>
        </w:tc>
      </w:tr>
      <w:tr>
        <w:tc>
          <w:tcPr>
            <w:tcW w:type="pct" w:w="35%"/>
          </w:tcPr>
          <w:p>
            <w:r>
              <w:rPr>
                <w:b/>
                <w:bCs/>
              </w:rPr>
              <w:t xml:space="preserve">Requires clarification</w:t>
            </w:r>
          </w:p>
        </w:tc>
        <w:tc>
          <w:tcPr>
            <w:tcW w:type="pct" w:w="65%"/>
          </w:tcPr>
          <w:p>
            <w:r>
              <w:t xml:space="preserve">0</w:t>
            </w:r>
          </w:p>
        </w:tc>
      </w:tr>
    </w:tbl>
    <w:p/>
    <w:p>
      <w:pPr>
        <w:pStyle w:val="Heading2"/>
        <w:spacing w:after="200"/>
      </w:pPr>
      <w:r>
        <w:t xml:space="preserve">Exact blocker</w:t>
      </w:r>
    </w:p>
    <w:p>
      <w:pPr>
        <w:spacing w:after="120"/>
      </w:pPr>
      <w:r>
        <w:t xml:space="preserve">The mandatory parser always reads workbook.SheetNames[0]. In this workbook that sheet is Readme. The actual test cases are on All NFR Cases, which has 204 data rows and the required Test Case ID, Test Steps, and Expected Result columns. Pipeline rules forbid hand-writing validation or bypassing invalid rows, so the run stopped before Normalize.</w:t>
      </w:r>
    </w:p>
    <w:p>
      <w:pPr>
        <w:pStyle w:val="Heading2"/>
        <w:spacing w:after="200"/>
      </w:pPr>
      <w:r>
        <w:t xml:space="preserve">Batch 1 outcome</w:t>
      </w:r>
    </w:p>
    <w:tbl>
      <w:tblPr>
        <w:tblW w:type="pct" w:w="100%"/>
        <w:tblBorders>
          <w:top w:val="single" w:sz="1"/>
          <w:left w:val="single" w:sz="1"/>
          <w:bottom w:val="single" w:sz="1"/>
          <w:right w:val="single" w:sz="1"/>
          <w:insideH w:val="single" w:sz="1"/>
          <w:insideV w:val="single" w:sz="1"/>
        </w:tblBorders>
      </w:tblPr>
      <w:tblGrid>
        <w:gridCol w:w="100"/>
        <w:gridCol w:w="100"/>
      </w:tblGrid>
      <w:tr>
        <w:tc>
          <w:tcPr>
            <w:tcW w:type="pct" w:w="35%"/>
          </w:tcPr>
          <w:p>
            <w:r>
              <w:rPr>
                <w:b/>
                <w:bCs/>
              </w:rPr>
              <w:t xml:space="preserve">Generated</w:t>
            </w:r>
          </w:p>
        </w:tc>
        <w:tc>
          <w:tcPr>
            <w:tcW w:type="pct" w:w="65%"/>
          </w:tcPr>
          <w:p>
            <w:r>
              <w:t xml:space="preserve">0 / not planned</w:t>
            </w:r>
          </w:p>
        </w:tc>
      </w:tr>
      <w:tr>
        <w:tc>
          <w:tcPr>
            <w:tcW w:type="pct" w:w="35%"/>
          </w:tcPr>
          <w:p>
            <w:r>
              <w:rPr>
                <w:b/>
                <w:bCs/>
              </w:rPr>
              <w:t xml:space="preserve">Passed</w:t>
            </w:r>
          </w:p>
        </w:tc>
        <w:tc>
          <w:tcPr>
            <w:tcW w:type="pct" w:w="65%"/>
          </w:tcPr>
          <w:p>
            <w:r>
              <w:t xml:space="preserve">0</w:t>
            </w:r>
          </w:p>
        </w:tc>
      </w:tr>
      <w:tr>
        <w:tc>
          <w:tcPr>
            <w:tcW w:type="pct" w:w="35%"/>
          </w:tcPr>
          <w:p>
            <w:r>
              <w:rPr>
                <w:b/>
                <w:bCs/>
              </w:rPr>
              <w:t xml:space="preserve">Failed</w:t>
            </w:r>
          </w:p>
        </w:tc>
        <w:tc>
          <w:tcPr>
            <w:tcW w:type="pct" w:w="65%"/>
          </w:tcPr>
          <w:p>
            <w:r>
              <w:t xml:space="preserve">0</w:t>
            </w:r>
          </w:p>
        </w:tc>
      </w:tr>
      <w:tr>
        <w:tc>
          <w:tcPr>
            <w:tcW w:type="pct" w:w="35%"/>
          </w:tcPr>
          <w:p>
            <w:r>
              <w:rPr>
                <w:b/>
                <w:bCs/>
              </w:rPr>
              <w:t xml:space="preserve">Blocked</w:t>
            </w:r>
          </w:p>
        </w:tc>
        <w:tc>
          <w:tcPr>
            <w:tcW w:type="pct" w:w="65%"/>
          </w:tcPr>
          <w:p>
            <w:r>
              <w:t xml:space="preserve">0 test executions; pipeline blocked before batch planning</w:t>
            </w:r>
          </w:p>
        </w:tc>
      </w:tr>
      <w:tr>
        <w:tc>
          <w:tcPr>
            <w:tcW w:type="pct" w:w="35%"/>
          </w:tcPr>
          <w:p>
            <w:r>
              <w:rPr>
                <w:b/>
                <w:bCs/>
              </w:rPr>
              <w:t xml:space="preserve">Healer invoked</w:t>
            </w:r>
          </w:p>
        </w:tc>
        <w:tc>
          <w:tcPr>
            <w:tcW w:type="pct" w:w="65%"/>
          </w:tcPr>
          <w:p>
            <w:r>
              <w:t xml:space="preserve">No</w:t>
            </w:r>
          </w:p>
        </w:tc>
      </w:tr>
    </w:tbl>
    <w:p/>
    <w:p>
      <w:pPr>
        <w:pStyle w:val="Heading2"/>
        <w:spacing w:after="200"/>
      </w:pPr>
      <w:r>
        <w:t xml:space="preserve">Required remediation</w:t>
      </w:r>
    </w:p>
    <w:p>
      <w:pPr>
        <w:spacing w:after="120"/>
      </w:pPr>
      <w:r>
        <w:t xml:space="preserve">Correct the mechanical parser's worksheet selection to choose a worksheet containing the required test-case columns, then rerun Validate against the same unchanged approved workbook. No batch 2 approval is applicable until Batch 1 can complete.</w:t>
      </w:r>
    </w:p>
    <w:p>
      <w:pPr>
        <w:pStyle w:val="Heading2"/>
        <w:spacing w:after="200"/>
      </w:pPr>
      <w:r>
        <w:t xml:space="preserve">Block reason</w:t>
      </w:r>
    </w:p>
    <w:p>
      <w:pPr>
        <w:spacing w:after="120"/>
      </w:pPr>
      <w:r>
        <w:t xml:space="preserve">Mechanical validation selected Readme instead of All NFR Cases and produced zero eligible rows.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2026-08-24T09:29:28.875Z</dcterms:created>
  <dcterms:modified xsi:type="dcterms:W3CDTF">2026-08-24T09:29:28.875Z</dcterms:modified>
</cp:coreProperties>
</file>

<file path=docProps/custom.xml><?xml version="1.0" encoding="utf-8"?>
<Properties xmlns="http://schemas.openxmlformats.org/officeDocument/2006/custom-properties" xmlns:vt="http://schemas.openxmlformats.org/officeDocument/2006/docPropsVTypes"/>
</file>