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Generator — Batch 1</w:t>
      </w:r>
    </w:p>
    <w:p>
      <w:pPr>
        <w:spacing w:after="120"/>
      </w:pPr>
      <w:r>
        <w:t xml:space="preserve">Generated: 2026-08-24T09:35:44.534Z</w:t>
      </w:r>
    </w:p>
    <w:p>
      <w:pPr>
        <w:spacing w:after="120"/>
      </w:pPr>
      <w:r>
        <w:t xml:space="preserve">Agent: test-generator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in scope</w:t>
            </w:r>
          </w:p>
        </w:tc>
        <w:tc>
          <w:tcPr>
            <w:tcW w:type="pct" w:w="65%"/>
          </w:tcPr>
          <w:p>
            <w:r>
              <w:t xml:space="preserve">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10.17%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Validated cases</w:t>
            </w:r>
          </w:p>
        </w:tc>
        <w:tc>
          <w:tcPr>
            <w:tcW w:type="pct" w:w="65%"/>
          </w:tcPr>
          <w:p>
            <w:r>
              <w:t xml:space="preserve">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Target spec(s)</w:t>
            </w:r>
          </w:p>
        </w:tc>
        <w:tc>
          <w:tcPr>
            <w:tcW w:type="pct" w:w="65%"/>
          </w:tcPr>
          <w:p>
            <w:r>
              <w:t xml:space="preserve"/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 ID</w:t>
            </w:r>
          </w:p>
        </w:tc>
        <w:tc>
          <w:tcPr>
            <w:tcW w:type="pct" w:w="65%"/>
          </w:tcPr>
          <w:p>
            <w:r>
              <w:t xml:space="preserve">dd3f5735-e6d1-41ae-b5b1-c02222a0d56c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Generated/assigned 18 case(s) with 10.17% live UI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1 handoff recorded in generation manifest</w:t>
      </w:r>
    </w:p>
    <w:p>
      <w:pPr>
        <w:pStyle w:val="Heading2"/>
        <w:spacing w:after="200"/>
      </w:pPr>
      <w:r>
        <w:t xml:space="preserve">Cases generated / validated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Controls validated</w:t>
            </w:r>
          </w:p>
        </w:tc>
        <w:tc>
          <w:p>
            <w:r>
              <w:rPr>
                <w:b/>
                <w:bCs/>
              </w:rPr>
              <w:t xml:space="preserve">Module URL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Sanctions Screening sidebar and Batch Screening link, Match Results heading and primary grid, HTTPS route and populat...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HTTPS Batch Screening route, Match Results heading and primary grid, Start/Stop Batch and Export Report restricted-ac...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TC_NFR_005</w:t>
            </w:r>
          </w:p>
        </w:tc>
        <w:tc>
          <w:p>
            <w:r>
              <w:t xml:space="preserve">Keyboard-focusable sidebar links, Keyboard-focusable Batch Screening toolbar buttons, Accessible names on primary con...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Start/Stop Batch state-changing action, Export Report state-changing action, Match Results populated grid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De-Duplication Screening heading and breadcrumb, Passport No match parameter selection, Generate Report action and du...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TC_NFR_016</w:t>
            </w:r>
          </w:p>
        </w:tc>
        <w:tc>
          <w:p>
            <w:r>
              <w:t xml:space="preserve">Passport No match parameter selection, Customer ID entry and Generate Report action, Comparison-modal target inspecte...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De-Dup route and search-filter controls, 800px responsive viewport, Sidebar, filter layout, and body-overflow targets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TC_NFR_018</w:t>
            </w:r>
          </w:p>
        </w:tc>
        <w:tc>
          <w:p>
            <w:r>
              <w:t xml:space="preserve">Keyboard-focusable Match Parameter List, Customer ID and Generate Report controls, Keyboard navigation target set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TC_NFR_019</w:t>
            </w:r>
          </w:p>
        </w:tc>
        <w:tc>
          <w:p>
            <w:r>
              <w:t xml:space="preserve">Match Parameter List and Generate Report controls, Interactive control keyboard accessibility, Comparison dialog and 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TC_NFR_020</w:t>
            </w:r>
          </w:p>
        </w:tc>
        <w:tc>
          <w:p>
            <w:r>
              <w:t xml:space="preserve">Authorized live module route, Search Filters and Match Parameter List, Customer ID and Generate Report controls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TC_NFR_021</w:t>
            </w:r>
          </w:p>
        </w:tc>
        <w:tc>
          <w:p>
            <w:r>
              <w:t xml:space="preserve">Tax ID / PAN live parameter option, Generate Report and export target availability, Sensitive-data masking expected t...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TC_NFR_022</w:t>
            </w:r>
          </w:p>
        </w:tc>
        <w:tc>
          <w:p>
            <w:r>
              <w:t xml:space="preserve">Generate Report action, Export and audit target availability, User, timestamp, and filter-criteria audit expectations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TC_NFR_023</w:t>
            </w:r>
          </w:p>
        </w:tc>
        <w:tc>
          <w:p>
            <w:r>
              <w:t xml:space="preserve">Live Chromium user agent, Rendered body font family, Stable 1280px layout without horizontal body overflow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TC_NFR_024</w:t>
            </w:r>
          </w:p>
        </w:tc>
        <w:tc>
          <w:p>
            <w:r>
              <w:t xml:space="preserve">KYC Gap Report heading and breadcrumb, KPI cards, filters, and populated grid, Initial navigation timing and Export c...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Search, filters, sortable grid, and pagination, Next page action, Page 2 state and no full-page reload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Keyboard focus traversal across report controls, ARIA role and visible-focus targets, Read-only grid and audit/export...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TC_NFR_028</w:t>
            </w:r>
          </w:p>
        </w:tc>
        <w:tc>
          <w:p>
            <w:r>
              <w:t xml:space="preserve">Direct KYC Gap Report URL, Authorized shell and read-only grid, Unauthorized-access and audit target availability und...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KYC Gap Report access and Export action, Audit-log target availability, Read-only grid and immutable-record expectations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2026-08-24T11:12:29.193Z</dcterms:created>
  <dcterms:modified xsi:type="dcterms:W3CDTF">2026-08-24T11:12:29.194Z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