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2</w:t>
      </w:r>
    </w:p>
    <w:p>
      <w:pPr>
        <w:spacing w:after="120"/>
      </w:pPr>
      <w:r>
        <w:t xml:space="preserve">Generated: 2026-08-25T07:34:00.000Z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34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19.21%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34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1e664518-d592-448c-9c49-64678c6929dc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34 case(s) with 19.21%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2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Sanctions Screening sidebar and Batch Screening link, Match Results heading and primary grid, HTTPS route and populat...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HTTPS Batch Screening route, Match Results heading and primary grid, Start/Stop Batch and Export Report restricted-ac...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Keyboard-focusable sidebar links, Keyboard-focusable Batch Screening toolbar buttons, Accessible names on primary con...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Start/Stop Batch state-changing action, Export Report state-changing action, Match Results populated grid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De-Duplication Screening heading and breadcrumb, Passport No match parameter selection, Generate Report action and du...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Passport No match parameter selection, Customer ID entry and Generate Report action, Comparison-modal target inspecte...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De-Dup route and search-filter controls, 800px responsive viewport, Sidebar, filter layout, and body-overflow targets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Keyboard-focusable Match Parameter List, Customer ID and Generate Report controls, Keyboard navigation target set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Match Parameter List and Generate Report controls, Interactive control keyboard accessibility, Comparison dialog and 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TC_NFR_020</w:t>
            </w:r>
          </w:p>
        </w:tc>
        <w:tc>
          <w:p>
            <w:r>
              <w:t xml:space="preserve">Authorized live module route, Search Filters and Match Parameter List, Customer ID and Generate Report controls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Tax ID / PAN live parameter option, Generate Report and export target availability, Sensitive-data masking expected t...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Generate Report action, Export and audit target availability, User, timestamp, and filter-criteria audit expectations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Live Chromium user agent, Rendered body font family, Stable 1280px layout without horizontal body overflow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KYC Gap Report heading and breadcrumb, KPI cards, filters, and populated grid, Initial navigation timing and Export c...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Search, filters, sortable grid, and pagination, Next page action, Page 2 state and no full-page reload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Keyboard focus traversal across report controls, ARIA role and visible-focus targets, Read-only grid and audit/export...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Direct KYC Gap Report URL, Authorized shell and read-only grid, Unauthorized-access and audit target availability und...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KYC Gap Report access and Export action, Audit-log target availability, Read-only grid and immutable-record expectations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Missing Mandatory Data Template route and page heading, Template list and high-volume field controls, Archive lifecyc...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Template list keyboard focus targets, Search, sort, and pagination controls, Tab, Shift+Tab, Enter, and Escape intera...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Create Template controls, Keyboard focus styles and order, Assignment and detail workflow targets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Authorized Missing Mandatory route, Archive action availability, Delete action absence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Editable template requirement control, Save configuration action, Audit metadata target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Reference Masters breadcrumb and Country Master tab, Country grid and expected columns, Search and filter controls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Transaction Device master route, IMEI masking target and record detail action, Restricted action and audit targets</w:t>
            </w:r>
          </w:p>
        </w:tc>
        <w:tc>
          <w:p>
            <w:r>
              <w:t xml:space="preserve">https://kadelamldev.customerxps.com:2506/kyc/reference-data-register/txn-device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Country Master grid and risk column, FATF-related risk flag target, Source update and freshness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Reference master state-changing action candidates, Audit trail target, Retention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Keyboard navigation targets, Accessible names and semantic headings, Visible focus indicator styles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Sanctions Screening navigation path, Match Results tab and heading, Main grid ready indicator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Match Results searchbox, Exact customer-name search, Filtered row result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Branch filter control and option panel, Screening Type filter control, Filtered Match Results grid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Compliance Officer session route, Create, edit, and delete action targets, Restricted action visibility and enabled s...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Start/Stop Batch action, Batch upload or job flow target, Ready-state and error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Export Report action, Download or export confirmation target, Audit and error-state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2026-08-25T07:35:40.815Z</dcterms:created>
  <dcterms:modified xsi:type="dcterms:W3CDTF">2026-08-25T07:35:40.815Z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