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Generator — Batch 6</w:t>
      </w:r>
    </w:p>
    <w:p>
      <w:pPr>
        <w:spacing w:after="120"/>
      </w:pPr>
      <w:r>
        <w:t xml:space="preserve">Generated: 2026-08-26T11:52:43.652Z</w:t>
      </w:r>
    </w:p>
    <w:p>
      <w:pPr>
        <w:spacing w:after="120"/>
      </w:pPr>
      <w:r>
        <w:t xml:space="preserve">Agent: test-generator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results/qa-pipeline/NFR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in scope</w:t>
            </w:r>
          </w:p>
        </w:tc>
        <w:tc>
          <w:tcPr>
            <w:tcW w:type="pct" w:w="65%"/>
          </w:tcPr>
          <w:p>
            <w:r>
              <w:t xml:space="preserve">139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Live UI coverage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Validated cases</w:t>
            </w:r>
          </w:p>
        </w:tc>
        <w:tc>
          <w:tcPr>
            <w:tcW w:type="pct" w:w="65%"/>
          </w:tcPr>
          <w:p>
            <w:r>
              <w:t xml:space="preserve">139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Target spec(s)</w:t>
            </w:r>
          </w:p>
        </w:tc>
        <w:tc>
          <w:tcPr>
            <w:tcW w:type="pct" w:w="65%"/>
          </w:tcPr>
          <w:p>
            <w:r>
              <w:t xml:space="preserve"/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Generator agent ID</w:t>
            </w:r>
          </w:p>
        </w:tc>
        <w:tc>
          <w:tcPr>
            <w:tcW w:type="pct" w:w="65%"/>
          </w:tcPr>
          <w:p>
            <w:r>
              <w:t xml:space="preserve">batch6-qa-automation-pipeline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Generated/assigned 139 case(s) with 100% live UI coverage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Batch 6 handoff recorded in generation manifest</w:t>
      </w:r>
    </w:p>
    <w:p>
      <w:pPr>
        <w:pStyle w:val="Heading2"/>
        <w:spacing w:after="200"/>
      </w:pPr>
      <w:r>
        <w:t xml:space="preserve">Cases generated / validated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Controls validated</w:t>
            </w:r>
          </w:p>
        </w:tc>
        <w:tc>
          <w:p>
            <w:r>
              <w:rPr>
                <w:b/>
                <w:bCs/>
              </w:rPr>
              <w:t xml:space="preserve">Module URL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Sanctions Screening sidebar and Batch Screening link, Match Results heading and primary grid, HTTPS route and populat...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TC_NFR_004</w:t>
            </w:r>
          </w:p>
        </w:tc>
        <w:tc>
          <w:p>
            <w:r>
              <w:t xml:space="preserve">HTTPS Batch Screening route, Match Results heading and primary grid, Start/Stop Batch and Export Report restricted-ac...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TC_NFR_005</w:t>
            </w:r>
          </w:p>
        </w:tc>
        <w:tc>
          <w:p>
            <w:r>
              <w:t xml:space="preserve">Keyboard-focusable sidebar links, Keyboard-focusable Batch Screening toolbar buttons, Accessible names on primary con...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TC_NFR_008</w:t>
            </w:r>
          </w:p>
        </w:tc>
        <w:tc>
          <w:p>
            <w:r>
              <w:t xml:space="preserve">Start/Stop Batch state-changing action, Export Report state-changing action, Match Results populated grid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De-Duplication Screening heading and breadcrumb, Passport No match parameter selection, Generate Report action and du...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TC_NFR_016</w:t>
            </w:r>
          </w:p>
        </w:tc>
        <w:tc>
          <w:p>
            <w:r>
              <w:t xml:space="preserve">Passport No match parameter selection, Customer ID entry and Generate Report action, Comparison-modal target inspecte...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TC_NFR_017</w:t>
            </w:r>
          </w:p>
        </w:tc>
        <w:tc>
          <w:p>
            <w:r>
              <w:t xml:space="preserve">De-Dup route and search-filter controls, 800px responsive viewport, Sidebar, filter layout, and body-overflow targets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TC_NFR_018</w:t>
            </w:r>
          </w:p>
        </w:tc>
        <w:tc>
          <w:p>
            <w:r>
              <w:t xml:space="preserve">Keyboard-focusable Match Parameter List, Customer ID and Generate Report controls, Keyboard navigation target set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TC_NFR_019</w:t>
            </w:r>
          </w:p>
        </w:tc>
        <w:tc>
          <w:p>
            <w:r>
              <w:t xml:space="preserve">Match Parameter List and Generate Report controls, Interactive control keyboard accessibility, Comparison dialog and 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TC_NFR_020</w:t>
            </w:r>
          </w:p>
        </w:tc>
        <w:tc>
          <w:p>
            <w:r>
              <w:t xml:space="preserve">Authorized live module route, Search Filters and Match Parameter List, Customer ID and Generate Report controls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TC_NFR_021</w:t>
            </w:r>
          </w:p>
        </w:tc>
        <w:tc>
          <w:p>
            <w:r>
              <w:t xml:space="preserve">Tax ID / PAN live parameter option, Generate Report and export target availability, Sensitive-data masking expected t...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TC_NFR_022</w:t>
            </w:r>
          </w:p>
        </w:tc>
        <w:tc>
          <w:p>
            <w:r>
              <w:t xml:space="preserve">Generate Report action, Export and audit target availability, User, timestamp, and filter-criteria audit expectations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TC_NFR_023</w:t>
            </w:r>
          </w:p>
        </w:tc>
        <w:tc>
          <w:p>
            <w:r>
              <w:t xml:space="preserve">Live Chromium user agent, Rendered body font family, Stable 1280px layout without horizontal body overflow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TC_NFR_024</w:t>
            </w:r>
          </w:p>
        </w:tc>
        <w:tc>
          <w:p>
            <w:r>
              <w:t xml:space="preserve">KYC Gap Report heading and breadcrumb, KPI cards, filters, and populated grid, Initial navigation timing and Export c...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TC_NFR_025</w:t>
            </w:r>
          </w:p>
        </w:tc>
        <w:tc>
          <w:p>
            <w:r>
              <w:t xml:space="preserve">Search, filters, sortable grid, and pagination, Next page action, Page 2 state and no full-page reload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TC_NFR_027</w:t>
            </w:r>
          </w:p>
        </w:tc>
        <w:tc>
          <w:p>
            <w:r>
              <w:t xml:space="preserve">Keyboard focus traversal across report controls, ARIA role and visible-focus targets, Read-only grid and audit/export...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TC_NFR_028</w:t>
            </w:r>
          </w:p>
        </w:tc>
        <w:tc>
          <w:p>
            <w:r>
              <w:t xml:space="preserve">Direct KYC Gap Report URL, Authorized shell and read-only grid, Unauthorized-access and audit target availability und...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TC_NFR_029</w:t>
            </w:r>
          </w:p>
        </w:tc>
        <w:tc>
          <w:p>
            <w:r>
              <w:t xml:space="preserve">KYC Gap Report access and Export action, Audit-log target availability, Read-only grid and immutable-record expectations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TC_NFR_056</w:t>
            </w:r>
          </w:p>
        </w:tc>
        <w:tc>
          <w:p>
            <w:r>
              <w:t xml:space="preserve">Missing Mandatory Data Template route and page heading, Template list and high-volume field controls, Archive lifecyc...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TC_NFR_057</w:t>
            </w:r>
          </w:p>
        </w:tc>
        <w:tc>
          <w:p>
            <w:r>
              <w:t xml:space="preserve">Template list keyboard focus targets, Search, sort, and pagination controls, Tab, Shift+Tab, Enter, and Escape intera...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TC_NFR_059</w:t>
            </w:r>
          </w:p>
        </w:tc>
        <w:tc>
          <w:p>
            <w:r>
              <w:t xml:space="preserve">Create Template controls, Keyboard focus styles and order, Assignment and detail workflow targets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TC_NFR_060</w:t>
            </w:r>
          </w:p>
        </w:tc>
        <w:tc>
          <w:p>
            <w:r>
              <w:t xml:space="preserve">Authorized Missing Mandatory route, Archive action availability, Delete action absence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TC_NFR_061</w:t>
            </w:r>
          </w:p>
        </w:tc>
        <w:tc>
          <w:p>
            <w:r>
              <w:t xml:space="preserve">Editable template requirement control, Save configuration action, Audit metadata target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Reference Masters breadcrumb and Country Master tab, Country grid and expected columns, Search and filter controls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TC_NFR_063</w:t>
            </w:r>
          </w:p>
        </w:tc>
        <w:tc>
          <w:p>
            <w:r>
              <w:t xml:space="preserve">Transaction Device master route, IMEI masking target and record detail action, Restricted action and audit targets</w:t>
            </w:r>
          </w:p>
        </w:tc>
        <w:tc>
          <w:p>
            <w:r>
              <w:t xml:space="preserve">https://kadelamldev.customerxps.com:2506/kyc/reference-data-register/txn-device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Country Master grid and risk column, FATF-related risk flag target, Source update and freshness metadata target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TC_NFR_068</w:t>
            </w:r>
          </w:p>
        </w:tc>
        <w:tc>
          <w:p>
            <w:r>
              <w:t xml:space="preserve">Reference master state-changing action candidates, Audit trail target, Retention metadata target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TC_NFR_069</w:t>
            </w:r>
          </w:p>
        </w:tc>
        <w:tc>
          <w:p>
            <w:r>
              <w:t xml:space="preserve">Keyboard navigation targets, Accessible names and semantic headings, Visible focus indicator styles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Sanctions Screening navigation path, Match Results tab and heading, Main grid ready indicator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TC_NFR_071</w:t>
            </w:r>
          </w:p>
        </w:tc>
        <w:tc>
          <w:p>
            <w:r>
              <w:t xml:space="preserve">Match Results searchbox, Exact customer-name search, Filtered row result target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TC_NFR_072</w:t>
            </w:r>
          </w:p>
        </w:tc>
        <w:tc>
          <w:p>
            <w:r>
              <w:t xml:space="preserve">Branch filter control and option panel, Screening Type filter control, Filtered Match Results grid target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TC_NFR_073</w:t>
            </w:r>
          </w:p>
        </w:tc>
        <w:tc>
          <w:p>
            <w:r>
              <w:t xml:space="preserve">Compliance Officer session route, Create, edit, and delete action targets, Restricted action visibility and enabled s...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TC_NFR_074</w:t>
            </w:r>
          </w:p>
        </w:tc>
        <w:tc>
          <w:p>
            <w:r>
              <w:t xml:space="preserve">Start/Stop Batch action, Batch upload or job flow target, Ready-state and error targets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Export Report action, Download or export confirmation target, Audit and error-state targets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TC_NFR_083</w:t>
            </w:r>
          </w:p>
        </w:tc>
        <w:tc>
          <w:p>
            <w:r>
              <w:t xml:space="preserve">Sanctions Screening sidebar De-dup Screening link, De-Duplication Screening title, Search Filters / Match Parameter List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TC_NFR_084</w:t>
            </w:r>
          </w:p>
        </w:tc>
        <w:tc>
          <w:p>
            <w:r>
              <w:t xml:space="preserve">Breadcrumb Sanction Screening › De-dup Screening, De-Duplication Screening title, Customer ID and Generate Report con...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TC_NFR_085</w:t>
            </w:r>
          </w:p>
        </w:tc>
        <w:tc>
          <w:p>
            <w:r>
              <w:t xml:space="preserve">Match Parameter Date of Birth, Customer ID 8829103, Generate Report results table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TC_NFR_086</w:t>
            </w:r>
          </w:p>
        </w:tc>
        <w:tc>
          <w:p>
            <w:r>
              <w:t xml:space="preserve">Export button on results, Export to Excel (.xlsx) menuitem, Download started dedup-report.xlsx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TC_NFR_087</w:t>
            </w:r>
          </w:p>
        </w:tc>
        <w:tc>
          <w:p>
            <w:r>
              <w:t xml:space="preserve">Compare button on first duplicate row, Duplicate comparison dialog, Matched via Date of Birth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TC_NFR_088</w:t>
            </w:r>
          </w:p>
        </w:tc>
        <w:tc>
          <w:p>
            <w:r>
              <w:t xml:space="preserve">Export menu, Export to Excel/CSV/PDF options, Export report flow ready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2026-08-26T11:57:29.909Z</dcterms:created>
  <dcterms:modified xsi:type="dcterms:W3CDTF">2026-08-26T11:57:29.909Z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