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FSD Excel Coverage Audit — Customer_Risk_Rating_Configuration_Agent_Test_Cases</w:t>
      </w:r>
    </w:p>
    <w:p>
      <w:pPr>
        <w:spacing w:after="120"/>
      </w:pPr>
      <w:r>
        <w:t xml:space="preserve">Generated: 2026-08-04T12:37:04.106Z</w:t>
      </w:r>
    </w:p>
    <w:p>
      <w:pPr>
        <w:spacing w:after="120"/>
      </w:pPr>
      <w:r>
        <w:t xml:space="preserve">Agent: fsd-excel-coverage-audit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key</w:t>
            </w:r>
          </w:p>
        </w:tc>
        <w:tc>
          <w:tcPr>
            <w:tcW w:type="pct" w:w="65%"/>
          </w:tcPr>
          <w:p>
            <w:r>
              <w:t xml:space="preserve">Customer_Risk_Rating_Configuration_Agent_Test_Cases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Verdict</w:t>
            </w:r>
          </w:p>
        </w:tc>
        <w:tc>
          <w:tcPr>
            <w:tcW w:type="pct" w:w="65%"/>
          </w:tcPr>
          <w:p>
            <w:r>
              <w:t xml:space="preserve">ReviewNeeded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Actual coverage (overall)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Requirement coverage (overall)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Flow coverage (overall)</w:t>
            </w:r>
          </w:p>
        </w:tc>
        <w:tc>
          <w:tcPr>
            <w:tcW w:type="pct" w:w="65%"/>
          </w:tcPr>
          <w:p>
            <w:r>
              <w:t xml:space="preserve">100% (144/144)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Chain coverage (overall)</w:t>
            </w:r>
          </w:p>
        </w:tc>
        <w:tc>
          <w:tcPr>
            <w:tcW w:type="pct" w:w="65%"/>
          </w:tcPr>
          <w:p>
            <w:r>
              <w:t xml:space="preserve">100% (141/141)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Use case coverage (overall)</w:t>
            </w:r>
          </w:p>
        </w:tc>
        <w:tc>
          <w:tcPr>
            <w:tcW w:type="pct" w:w="65%"/>
          </w:tcPr>
          <w:p>
            <w:r>
              <w:t xml:space="preserve">100% (113/113)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audited</w:t>
            </w:r>
          </w:p>
        </w:tc>
        <w:tc>
          <w:tcPr>
            <w:tcW w:type="pct" w:w="65%"/>
          </w:tcPr>
          <w:p>
            <w:r>
              <w:t xml:space="preserve">9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Writer claimed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Claim gap (vs actual)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path</w:t>
            </w:r>
          </w:p>
        </w:tc>
        <w:tc>
          <w:tcPr>
            <w:tcW w:type="pct" w:w="65%"/>
          </w:tcPr>
          <w:p>
            <w:r>
              <w:t xml:space="preserve">pipeline/test-data/Milestone2/Test Cases/Customer_Risk_Rating_Configuration_Agent_Test_Cases.xlsx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Audit report</w:t>
            </w:r>
          </w:p>
        </w:tc>
        <w:tc>
          <w:tcPr>
            <w:tcW w:type="pct" w:w="65%"/>
          </w:tcPr>
          <w:p>
            <w:r>
              <w:t xml:space="preserve">results/fsd-coverage-audit/Customer_Risk_Rating_Configuration_Agent_Test_Cases/coverage-audit-report.json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Actual coverage 100% after semantic override of 2 hard-floor exception flows; ReviewNeeded due to 10 POSSIBLY_BUNDLED quality warning(s) and 13 orphan(s)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Overall actual 100% — requirements 100%, flows 100%, chains 100%, use cases 100%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Feature-wise actual coverage ranges from 100% to 100%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discovered flows have required design-type coverage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dependent flows have chain evidence in Excel</w:t>
      </w:r>
    </w:p>
    <w:p>
      <w:pPr>
        <w:pStyle w:val="Heading2"/>
        <w:spacing w:after="200"/>
      </w:pPr>
      <w:r>
        <w:t xml:space="preserve">Feature-wise coverage percentages</w:t>
      </w:r>
    </w:p>
    <w:p>
      <w:pPr>
        <w:spacing w:after="120"/>
      </w:pPr>
      <w:r>
        <w:t xml:space="preserve">Per-feature composite (Actual %) and component percentages: Requirement %, Flow %, Chain %, Use case %.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Actual %</w:t>
            </w:r>
          </w:p>
        </w:tc>
        <w:tc>
          <w:p>
            <w:r>
              <w:rPr>
                <w:b/>
                <w:bCs/>
              </w:rPr>
              <w:t xml:space="preserve">Req %</w:t>
            </w:r>
          </w:p>
        </w:tc>
        <w:tc>
          <w:p>
            <w:r>
              <w:rPr>
                <w:b/>
                <w:bCs/>
              </w:rPr>
              <w:t xml:space="preserve">Flow %</w:t>
            </w:r>
          </w:p>
        </w:tc>
        <w:tc>
          <w:p>
            <w:r>
              <w:rPr>
                <w:b/>
                <w:bCs/>
              </w:rPr>
              <w:t xml:space="preserve">Chain %</w:t>
            </w:r>
          </w:p>
        </w:tc>
        <w:tc>
          <w:p>
            <w:r>
              <w:rPr>
                <w:b/>
                <w:bCs/>
              </w:rPr>
              <w:t xml:space="preserve">UC %</w:t>
            </w:r>
          </w:p>
        </w:tc>
      </w:tr>
      <w:tr>
        <w:tc>
          <w:p>
            <w:r>
              <w:t xml:space="preserve">Purpose and Scope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Risk Tiers and Score Thresholds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Hard Floor Override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Scoring Methodology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Category and Parameter Structure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Category Weights and Parameters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Risk Scoring Configuration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Periodic Review Frequency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Business Rules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</w:tbl>
    <w:p/>
    <w:p>
      <w:pPr>
        <w:pStyle w:val="Heading2"/>
        <w:spacing w:after="200"/>
      </w:pPr>
      <w:r>
        <w:t xml:space="preserve">Feature coverage detail (counts + percentages)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Section</w:t>
            </w:r>
          </w:p>
        </w:tc>
        <w:tc>
          <w:p>
            <w:r>
              <w:rPr>
                <w:b/>
                <w:bCs/>
              </w:rPr>
              <w:t xml:space="preserve">Req %</w:t>
            </w:r>
          </w:p>
        </w:tc>
        <w:tc>
          <w:p>
            <w:r>
              <w:rPr>
                <w:b/>
                <w:bCs/>
              </w:rPr>
              <w:t xml:space="preserve">Flow %</w:t>
            </w:r>
          </w:p>
        </w:tc>
        <w:tc>
          <w:p>
            <w:r>
              <w:rPr>
                <w:b/>
                <w:bCs/>
              </w:rPr>
              <w:t xml:space="preserve">Chain %</w:t>
            </w:r>
          </w:p>
        </w:tc>
        <w:tc>
          <w:p>
            <w:r>
              <w:rPr>
                <w:b/>
                <w:bCs/>
              </w:rPr>
              <w:t xml:space="preserve">UC %</w:t>
            </w:r>
          </w:p>
        </w:tc>
        <w:tc>
          <w:p>
            <w:r>
              <w:rPr>
                <w:b/>
                <w:bCs/>
              </w:rPr>
              <w:t xml:space="preserve">Actual %</w:t>
            </w:r>
          </w:p>
        </w:tc>
        <w:tc>
          <w:p>
            <w:r>
              <w:rPr>
                <w:b/>
                <w:bCs/>
              </w:rPr>
              <w:t xml:space="preserve">Reqs</w:t>
            </w:r>
          </w:p>
        </w:tc>
        <w:tc>
          <w:p>
            <w:r>
              <w:rPr>
                <w:b/>
                <w:bCs/>
              </w:rPr>
              <w:t xml:space="preserve">Flows</w:t>
            </w:r>
          </w:p>
        </w:tc>
        <w:tc>
          <w:p>
            <w:r>
              <w:rPr>
                <w:b/>
                <w:bCs/>
              </w:rPr>
              <w:t xml:space="preserve">Chains</w:t>
            </w:r>
          </w:p>
        </w:tc>
        <w:tc>
          <w:p>
            <w:r>
              <w:rPr>
                <w:b/>
                <w:bCs/>
              </w:rPr>
              <w:t xml:space="preserve">Use cases</w:t>
            </w:r>
          </w:p>
        </w:tc>
        <w:tc>
          <w:p>
            <w:r>
              <w:rPr>
                <w:b/>
                <w:bCs/>
              </w:rPr>
              <w:t xml:space="preserve">Gaps</w:t>
            </w:r>
          </w:p>
        </w:tc>
      </w:tr>
      <w:tr>
        <w:tc>
          <w:p>
            <w:r>
              <w:t xml:space="preserve">Purpose and Scope</w:t>
            </w:r>
          </w:p>
        </w:tc>
        <w:tc>
          <w:p>
            <w:r>
              <w:t xml:space="preserve">S3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4/4</w:t>
            </w:r>
          </w:p>
        </w:tc>
        <w:tc>
          <w:p>
            <w:r>
              <w:t xml:space="preserve">2/2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Risk Tiers and Score Thresholds</w:t>
            </w:r>
          </w:p>
        </w:tc>
        <w:tc>
          <w:p>
            <w:r>
              <w:t xml:space="preserve">S5.1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2/2</w:t>
            </w:r>
          </w:p>
        </w:tc>
        <w:tc>
          <w:p>
            <w:r>
              <w:t xml:space="preserve">9/9</w:t>
            </w:r>
          </w:p>
        </w:tc>
        <w:tc>
          <w:p>
            <w:r>
              <w:t xml:space="preserve">9/9</w:t>
            </w:r>
          </w:p>
        </w:tc>
        <w:tc>
          <w:p>
            <w:r>
              <w:t xml:space="preserve">9/9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Hard Floor Override</w:t>
            </w:r>
          </w:p>
        </w:tc>
        <w:tc>
          <w:p>
            <w:r>
              <w:t xml:space="preserve">S5.2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4/4</w:t>
            </w:r>
          </w:p>
        </w:tc>
        <w:tc>
          <w:p>
            <w:r>
              <w:t xml:space="preserve">4/4</w:t>
            </w:r>
          </w:p>
        </w:tc>
        <w:tc>
          <w:p>
            <w:r>
              <w:t xml:space="preserve">4/4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Scoring Methodology</w:t>
            </w:r>
          </w:p>
        </w:tc>
        <w:tc>
          <w:p>
            <w:r>
              <w:t xml:space="preserve">S6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10/10</w:t>
            </w:r>
          </w:p>
        </w:tc>
        <w:tc>
          <w:p>
            <w:r>
              <w:t xml:space="preserve">10/10</w:t>
            </w:r>
          </w:p>
        </w:tc>
        <w:tc>
          <w:p>
            <w:r>
              <w:t xml:space="preserve">10/10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Category and Parameter Structure</w:t>
            </w:r>
          </w:p>
        </w:tc>
        <w:tc>
          <w:p>
            <w:r>
              <w:t xml:space="preserve">S7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4/4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Category Weights and Parameters</w:t>
            </w:r>
          </w:p>
        </w:tc>
        <w:tc>
          <w:p>
            <w:r>
              <w:t xml:space="preserve">S8.1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23/23</w:t>
            </w:r>
          </w:p>
        </w:tc>
        <w:tc>
          <w:p>
            <w:r>
              <w:t xml:space="preserve">23/23</w:t>
            </w:r>
          </w:p>
        </w:tc>
        <w:tc>
          <w:p>
            <w:r>
              <w:t xml:space="preserve">19/19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Risk Scoring Configuration</w:t>
            </w:r>
          </w:p>
        </w:tc>
        <w:tc>
          <w:p>
            <w:r>
              <w:t xml:space="preserve">S8.2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2/2</w:t>
            </w:r>
          </w:p>
        </w:tc>
        <w:tc>
          <w:p>
            <w:r>
              <w:t xml:space="preserve">16/16</w:t>
            </w:r>
          </w:p>
        </w:tc>
        <w:tc>
          <w:p>
            <w:r>
              <w:t xml:space="preserve">16/16</w:t>
            </w:r>
          </w:p>
        </w:tc>
        <w:tc>
          <w:p>
            <w:r>
              <w:t xml:space="preserve">14/14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Periodic Review Frequency</w:t>
            </w:r>
          </w:p>
        </w:tc>
        <w:tc>
          <w:p>
            <w:r>
              <w:t xml:space="preserve">S8.3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2/2</w:t>
            </w:r>
          </w:p>
        </w:tc>
        <w:tc>
          <w:p>
            <w:r>
              <w:t xml:space="preserve">6/6</w:t>
            </w:r>
          </w:p>
        </w:tc>
        <w:tc>
          <w:p>
            <w:r>
              <w:t xml:space="preserve">6/6</w:t>
            </w:r>
          </w:p>
        </w:tc>
        <w:tc>
          <w:p>
            <w:r>
              <w:t xml:space="preserve">4/4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Business Rules</w:t>
            </w:r>
          </w:p>
        </w:tc>
        <w:tc>
          <w:p>
            <w:r>
              <w:t xml:space="preserve">S9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11/11</w:t>
            </w:r>
          </w:p>
        </w:tc>
        <w:tc>
          <w:p>
            <w:r>
              <w:t xml:space="preserve">21/21</w:t>
            </w:r>
          </w:p>
        </w:tc>
        <w:tc>
          <w:p>
            <w:r>
              <w:t xml:space="preserve">21/21</w:t>
            </w:r>
          </w:p>
        </w:tc>
        <w:tc>
          <w:p>
            <w:r>
              <w:t xml:space="preserve">21/21</w:t>
            </w:r>
          </w:p>
        </w:tc>
        <w:tc>
          <w:p>
            <w:r>
              <w:t xml:space="preserve">—</w:t>
            </w:r>
          </w:p>
        </w:tc>
      </w:tr>
    </w:tbl>
    <w:p/>
    <w:p>
      <w:pPr>
        <w:pStyle w:val="Heading2"/>
        <w:spacing w:after="200"/>
      </w:pPr>
      <w:r>
        <w:t xml:space="preserve">Feature-wise design type coverage (positive / negative / …)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Design type</w:t>
            </w:r>
          </w:p>
        </w:tc>
        <w:tc>
          <w:p>
            <w:r>
              <w:rPr>
                <w:b/>
                <w:bCs/>
              </w:rPr>
              <w:t xml:space="preserve">Coverage %</w:t>
            </w:r>
          </w:p>
        </w:tc>
        <w:tc>
          <w:p>
            <w:r>
              <w:rPr>
                <w:b/>
                <w:bCs/>
              </w:rPr>
              <w:t xml:space="preserve">Covered/Expected</w:t>
            </w:r>
          </w:p>
        </w:tc>
      </w:tr>
      <w:tr>
        <w:tc>
          <w:p>
            <w:r>
              <w:t xml:space="preserve">Purpose and Scope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2/2</w:t>
            </w:r>
          </w:p>
        </w:tc>
      </w:tr>
      <w:tr>
        <w:tc>
          <w:p>
            <w:r>
              <w:t xml:space="preserve">Risk Tiers and Score Thresholds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9/9</w:t>
            </w:r>
          </w:p>
        </w:tc>
      </w:tr>
      <w:tr>
        <w:tc>
          <w:p>
            <w:r>
              <w:t xml:space="preserve">Hard Floor Override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2/2</w:t>
            </w:r>
          </w:p>
        </w:tc>
      </w:tr>
      <w:tr>
        <w:tc>
          <w:p>
            <w:r>
              <w:t xml:space="preserve">Hard Floor Override</w:t>
            </w:r>
          </w:p>
        </w:tc>
        <w:tc>
          <w:p>
            <w:r>
              <w:t xml:space="preserve">exception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2/2</w:t>
            </w:r>
          </w:p>
        </w:tc>
      </w:tr>
      <w:tr>
        <w:tc>
          <w:p>
            <w:r>
              <w:t xml:space="preserve">Scoring Methodology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10/10</w:t>
            </w:r>
          </w:p>
        </w:tc>
      </w:tr>
      <w:tr>
        <w:tc>
          <w:p>
            <w:r>
              <w:t xml:space="preserve">Category and Parameter Structure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12/12</w:t>
            </w:r>
          </w:p>
        </w:tc>
      </w:tr>
      <w:tr>
        <w:tc>
          <w:p>
            <w:r>
              <w:t xml:space="preserve">Category and Parameter Structure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3/3</w:t>
            </w:r>
          </w:p>
        </w:tc>
      </w:tr>
      <w:tr>
        <w:tc>
          <w:p>
            <w:r>
              <w:t xml:space="preserve">Category Weights and Parameters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17/17</w:t>
            </w:r>
          </w:p>
        </w:tc>
      </w:tr>
      <w:tr>
        <w:tc>
          <w:p>
            <w:r>
              <w:t xml:space="preserve">Category Weights and Parameters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2/2</w:t>
            </w:r>
          </w:p>
        </w:tc>
      </w:tr>
      <w:tr>
        <w:tc>
          <w:p>
            <w:r>
              <w:t xml:space="preserve">Risk Scoring Configuration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11/11</w:t>
            </w:r>
          </w:p>
        </w:tc>
      </w:tr>
      <w:tr>
        <w:tc>
          <w:p>
            <w:r>
              <w:t xml:space="preserve">Risk Scoring Configuration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1/1</w:t>
            </w:r>
          </w:p>
        </w:tc>
      </w:tr>
      <w:tr>
        <w:tc>
          <w:p>
            <w:r>
              <w:t xml:space="preserve">Risk Scoring Configuration</w:t>
            </w:r>
          </w:p>
        </w:tc>
        <w:tc>
          <w:p>
            <w:r>
              <w:t xml:space="preserve">boundary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2/2</w:t>
            </w:r>
          </w:p>
        </w:tc>
      </w:tr>
      <w:tr>
        <w:tc>
          <w:p>
            <w:r>
              <w:t xml:space="preserve">Periodic Review Frequency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4/4</w:t>
            </w:r>
          </w:p>
        </w:tc>
      </w:tr>
      <w:tr>
        <w:tc>
          <w:p>
            <w:r>
              <w:t xml:space="preserve">Business Rules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3/3</w:t>
            </w:r>
          </w:p>
        </w:tc>
      </w:tr>
      <w:tr>
        <w:tc>
          <w:p>
            <w:r>
              <w:t xml:space="preserve">Business Rules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10/10</w:t>
            </w:r>
          </w:p>
        </w:tc>
      </w:tr>
      <w:tr>
        <w:tc>
          <w:p>
            <w:r>
              <w:t xml:space="preserve">Business Rules</w:t>
            </w:r>
          </w:p>
        </w:tc>
        <w:tc>
          <w:p>
            <w:r>
              <w:t xml:space="preserve">boundary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8/8</w:t>
            </w:r>
          </w:p>
        </w:tc>
      </w:tr>
    </w:tbl>
    <w:p/>
    <w:p>
      <w:pPr>
        <w:pStyle w:val="Heading2"/>
        <w:spacing w:after="200"/>
      </w:pPr>
      <w:r>
        <w:t xml:space="preserve">Uncovered requirements</w:t>
      </w:r>
    </w:p>
    <w:p>
      <w:pPr>
        <w:spacing w:after="120"/>
      </w:pPr>
      <w:r>
        <w:t xml:space="preserve">None under this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2026-08-04T12:38:04.017Z</dcterms:created>
  <dcterms:modified xsi:type="dcterms:W3CDTF">2026-08-04T12:38:04.017Z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