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QA Automation Pipeline — Customer Risk Rating Configuration Test Cases</w:t>
      </w:r>
    </w:p>
    <w:p>
      <w:pPr>
        <w:spacing w:after="120"/>
      </w:pPr>
      <w:r>
        <w:t xml:space="preserve">Generated: 2026-07-29T18:46:15.337Z</w:t>
      </w:r>
    </w:p>
    <w:p>
      <w:pPr>
        <w:spacing w:after="120"/>
      </w:pPr>
      <w:r>
        <w:t xml:space="preserve">Agent: qa-automation-pipeline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workbook</w:t>
            </w:r>
          </w:p>
        </w:tc>
        <w:tc>
          <w:tcPr>
            <w:tcW w:type="pct" w:w="65%"/>
          </w:tcPr>
          <w:p>
            <w:r>
              <w:t xml:space="preserve">pipeline/test-data/Milestone2/Test Cases/Customer Risk Rating Configuration Test Cases.xlsx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root</w:t>
            </w:r>
          </w:p>
        </w:tc>
        <w:tc>
          <w:tcPr>
            <w:tcW w:type="pct" w:w="65%"/>
          </w:tcPr>
          <w:p>
            <w:r>
              <w:t xml:space="preserve">results/qa-pipeline/Customer Risk Rating Configuration Test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Pipeline mode</w:t>
            </w:r>
          </w:p>
        </w:tc>
        <w:tc>
          <w:tcPr>
            <w:tcW w:type="pct" w:w="65%"/>
          </w:tcPr>
          <w:p>
            <w:r>
              <w:t xml:space="preserve">reconcile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Gate status</w:t>
            </w:r>
          </w:p>
        </w:tc>
        <w:tc>
          <w:tcPr>
            <w:tcW w:type="pct" w:w="65%"/>
          </w:tcPr>
          <w:p>
            <w:r>
              <w:t xml:space="preserve">Passed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Live UI coverage</w:t>
            </w:r>
          </w:p>
        </w:tc>
        <w:tc>
          <w:tcPr>
            <w:tcW w:type="pct" w:w="65%"/>
          </w:tcPr>
          <w:p>
            <w:r>
              <w:t xml:space="preserve">100%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Eligible UI cases</w:t>
            </w:r>
          </w:p>
        </w:tc>
        <w:tc>
          <w:tcPr>
            <w:tcW w:type="pct" w:w="65%"/>
          </w:tcPr>
          <w:p>
            <w:r>
              <w:t xml:space="preserve">123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Validated UI cases</w:t>
            </w:r>
          </w:p>
        </w:tc>
        <w:tc>
          <w:tcPr>
            <w:tcW w:type="pct" w:w="65%"/>
          </w:tcPr>
          <w:p>
            <w:r>
              <w:t xml:space="preserve">123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Batches complete</w:t>
            </w:r>
          </w:p>
        </w:tc>
        <w:tc>
          <w:tcPr>
            <w:tcW w:type="pct" w:w="65%"/>
          </w:tcPr>
          <w:p>
            <w:r>
              <w:t xml:space="preserve">6/6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Final counts</w:t>
            </w:r>
          </w:p>
        </w:tc>
        <w:tc>
          <w:tcPr>
            <w:tcW w:type="pct" w:w="65%"/>
          </w:tcPr>
          <w:p>
            <w:r>
              <w:t xml:space="preserve">Passed 73 / Failed 50 / Blocked 0 / Total 123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Completion gate</w:t>
            </w:r>
          </w:p>
        </w:tc>
        <w:tc>
          <w:tcPr>
            <w:tcW w:type="pct" w:w="65%"/>
          </w:tcPr>
          <w:p>
            <w:r>
              <w:t xml:space="preserve">results/qa-pipeline/final/pipeline-completion-gate.json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Gate Passed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 UI validated 123 of 123 eligible UI cases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Six-batch execution: 6/6 batches complete</w:t>
      </w:r>
    </w:p>
    <w:p>
      <w:pPr>
        <w:pStyle w:val="Heading2"/>
        <w:spacing w:after="200"/>
      </w:pPr>
      <w:r>
        <w:t xml:space="preserve">Batch execution summary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Batch</w:t>
            </w:r>
          </w:p>
        </w:tc>
        <w:tc>
          <w:p>
            <w:r>
              <w:rPr>
                <w:b/>
                <w:bCs/>
              </w:rPr>
              <w:t xml:space="preserve">Passed</w:t>
            </w:r>
          </w:p>
        </w:tc>
        <w:tc>
          <w:p>
            <w:r>
              <w:rPr>
                <w:b/>
                <w:bCs/>
              </w:rPr>
              <w:t xml:space="preserve">Failed</w:t>
            </w:r>
          </w:p>
        </w:tc>
        <w:tc>
          <w:p>
            <w:r>
              <w:rPr>
                <w:b/>
                <w:bCs/>
              </w:rPr>
              <w:t xml:space="preserve">Blocked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0</w:t>
            </w:r>
          </w:p>
        </w:tc>
      </w:tr>
    </w:tbl>
    <w:p/>
    <w:p>
      <w:pPr>
        <w:pStyle w:val="Heading2"/>
        <w:spacing w:after="200"/>
      </w:pPr>
      <w:r>
        <w:t xml:space="preserve">Remaining failures (post-heal)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Classification</w:t>
            </w:r>
          </w:p>
        </w:tc>
      </w:tr>
      <w:tr>
        <w:tc>
          <w:p>
            <w:r>
              <w:t xml:space="preserve">CRR-TC-001</w:t>
            </w:r>
          </w:p>
        </w:tc>
        <w:tc>
          <w:p>
            <w:r>
              <w:t xml:space="preserve">Test Case ID:CRR-TC-001 - Open Customer Risk Rating Configuration from Configuration menu and verify page shell</w:t>
            </w:r>
          </w:p>
        </w:tc>
        <w:tc>
          <w:p>
            <w:r>
              <w:t xml:space="preserve">locator-issue</w:t>
            </w:r>
          </w:p>
        </w:tc>
      </w:tr>
      <w:tr>
        <w:tc>
          <w:p>
            <w:r>
              <w:t xml:space="preserve">CRR-TC-002</w:t>
            </w:r>
          </w:p>
        </w:tc>
        <w:tc>
          <w:p>
            <w:r>
              <w:t xml:space="preserve">Test Case ID:CRR-TC-002 - Verify default active tab on first open is Category Weights &amp; Parameters</w:t>
            </w:r>
          </w:p>
        </w:tc>
        <w:tc>
          <w:p>
            <w:r>
              <w:t xml:space="preserve">locator-issue</w:t>
            </w:r>
          </w:p>
        </w:tc>
      </w:tr>
      <w:tr>
        <w:tc>
          <w:p>
            <w:r>
              <w:t xml:space="preserve">CRR-TC-003</w:t>
            </w:r>
          </w:p>
        </w:tc>
        <w:tc>
          <w:p>
            <w:r>
              <w:t xml:space="preserve">Test Case ID:CRR-TC-003 - Switch from Category Weights &amp; Parameters to Risk Scoring Configuration tab</w:t>
            </w:r>
          </w:p>
        </w:tc>
        <w:tc>
          <w:p>
            <w:r>
              <w:t xml:space="preserve">locator-issue</w:t>
            </w:r>
          </w:p>
        </w:tc>
      </w:tr>
      <w:tr>
        <w:tc>
          <w:p>
            <w:r>
              <w:t xml:space="preserve">CRR-TC-004</w:t>
            </w:r>
          </w:p>
        </w:tc>
        <w:tc>
          <w:p>
            <w:r>
              <w:t xml:space="preserve">Test Case ID:CRR-TC-004 - Switch from Risk Scoring Configuration to Periodic Review Frequency tab</w:t>
            </w:r>
          </w:p>
        </w:tc>
        <w:tc>
          <w:p>
            <w:r>
              <w:t xml:space="preserve">synchronization-issue</w:t>
            </w:r>
          </w:p>
        </w:tc>
      </w:tr>
      <w:tr>
        <w:tc>
          <w:p>
            <w:r>
              <w:t xml:space="preserve">CRR-TC-005</w:t>
            </w:r>
          </w:p>
        </w:tc>
        <w:tc>
          <w:p>
            <w:r>
              <w:t xml:space="preserve">Test Case ID:CRR-TC-005 - Switch from Periodic Review Frequency back to Category Weights &amp; Parameters tab</w:t>
            </w:r>
          </w:p>
        </w:tc>
        <w:tc>
          <w:p>
            <w:r>
              <w:t xml:space="preserve">synchronization-issue</w:t>
            </w:r>
          </w:p>
        </w:tc>
      </w:tr>
      <w:tr>
        <w:tc>
          <w:p>
            <w:r>
              <w:t xml:space="preserve">CRR-TC-006</w:t>
            </w:r>
          </w:p>
        </w:tc>
        <w:tc>
          <w:p>
            <w:r>
              <w:t xml:space="preserve">Test Case ID:CRR-TC-006 - Verify all nine risk categories are visible in the Category Weights sidebar</w:t>
            </w:r>
          </w:p>
        </w:tc>
        <w:tc>
          <w:p>
            <w:r>
              <w:t xml:space="preserve">synchronization-issue</w:t>
            </w:r>
          </w:p>
        </w:tc>
      </w:tr>
      <w:tr>
        <w:tc>
          <w:p>
            <w:r>
              <w:t xml:space="preserve">CRR-TC-007</w:t>
            </w:r>
          </w:p>
        </w:tc>
        <w:tc>
          <w:p>
            <w:r>
              <w:t xml:space="preserve">Test Case ID:CRR-TC-007 - Verify total category weight balance message and percentage display</w:t>
            </w:r>
          </w:p>
        </w:tc>
        <w:tc>
          <w:p>
            <w:r>
              <w:t xml:space="preserve">synchronization-issue</w:t>
            </w:r>
          </w:p>
        </w:tc>
      </w:tr>
      <w:tr>
        <w:tc>
          <w:p>
            <w:r>
              <w:t xml:space="preserve">CRR-TC-008</w:t>
            </w:r>
          </w:p>
        </w:tc>
        <w:tc>
          <w:p>
            <w:r>
              <w:t xml:space="preserve">Test Case ID:CRR-TC-008 - Verify stage applicability indicators (ONB, ONG, EVT, PRD) are displayed</w:t>
            </w:r>
          </w:p>
        </w:tc>
        <w:tc>
          <w:p>
            <w:r>
              <w:t xml:space="preserve">synchronization-issue</w:t>
            </w:r>
          </w:p>
        </w:tc>
      </w:tr>
      <w:tr>
        <w:tc>
          <w:p>
            <w:r>
              <w:t xml:space="preserve">CRR-TC-009</w:t>
            </w:r>
          </w:p>
        </w:tc>
        <w:tc>
          <w:p>
            <w:r>
              <w:t xml:space="preserve">Test Case ID:CRR-TC-009 - Verify Maker-checker requests section is displayed and functional</w:t>
            </w:r>
          </w:p>
        </w:tc>
        <w:tc>
          <w:p>
            <w:r>
              <w:t xml:space="preserve">synchronization-issue</w:t>
            </w:r>
          </w:p>
        </w:tc>
      </w:tr>
      <w:tr>
        <w:tc>
          <w:p>
            <w:r>
              <w:t xml:space="preserve">CRR-TC-010</w:t>
            </w:r>
          </w:p>
        </w:tc>
        <w:tc>
          <w:p>
            <w:r>
              <w:t xml:space="preserve">Test Case ID:CRR-TC-010 - Verify Configuration audit history section is displayed and functional</w:t>
            </w:r>
          </w:p>
        </w:tc>
        <w:tc>
          <w:p>
            <w:r>
              <w:t xml:space="preserve">synchronization-issue</w:t>
            </w:r>
          </w:p>
        </w:tc>
      </w:tr>
      <w:tr>
        <w:tc>
          <w:p>
            <w:r>
              <w:t xml:space="preserve">CRR-TC-011</w:t>
            </w:r>
          </w:p>
        </w:tc>
        <w:tc>
          <w:p>
            <w:r>
              <w:t xml:space="preserve">Test Case ID:CRR-TC-011 - Verify Save Configuration button is present and initially disabled</w:t>
            </w:r>
          </w:p>
        </w:tc>
        <w:tc>
          <w:p>
            <w:r>
              <w:t xml:space="preserve">synchronization-issue</w:t>
            </w:r>
          </w:p>
        </w:tc>
      </w:tr>
      <w:tr>
        <w:tc>
          <w:p>
            <w:r>
              <w:t xml:space="preserve">CRR-TC-012</w:t>
            </w:r>
          </w:p>
        </w:tc>
        <w:tc>
          <w:p>
            <w:r>
              <w:t xml:space="preserve">Test Case ID:CRR-TC-012 - Click Sanctions &amp; Watchlist Risk category and verify selection</w:t>
            </w:r>
          </w:p>
        </w:tc>
        <w:tc>
          <w:p>
            <w:r>
              <w:t xml:space="preserve">locator-issue</w:t>
            </w:r>
          </w:p>
        </w:tc>
      </w:tr>
      <w:tr>
        <w:tc>
          <w:p>
            <w:r>
              <w:t xml:space="preserve">CRR-TC-013</w:t>
            </w:r>
          </w:p>
        </w:tc>
        <w:tc>
          <w:p>
            <w:r>
              <w:t xml:space="preserve">Test Case ID:CRR-TC-013 - Click Geographic &amp; Jurisdictional Risk category and verify selection</w:t>
            </w:r>
          </w:p>
        </w:tc>
        <w:tc>
          <w:p>
            <w:r>
              <w:t xml:space="preserve">synchronization-issue</w:t>
            </w:r>
          </w:p>
        </w:tc>
      </w:tr>
      <w:tr>
        <w:tc>
          <w:p>
            <w:r>
              <w:t xml:space="preserve">CRR-TC-014</w:t>
            </w:r>
          </w:p>
        </w:tc>
        <w:tc>
          <w:p>
            <w:r>
              <w:t xml:space="preserve">Test Case ID:CRR-TC-014 - Click Transactional Behaviour Risk category and verify selection</w:t>
            </w:r>
          </w:p>
        </w:tc>
        <w:tc>
          <w:p>
            <w:r>
              <w:t xml:space="preserve">synchronization-issue</w:t>
            </w:r>
          </w:p>
        </w:tc>
      </w:tr>
      <w:tr>
        <w:tc>
          <w:p>
            <w:r>
              <w:t xml:space="preserve">CRR-TC-015</w:t>
            </w:r>
          </w:p>
        </w:tc>
        <w:tc>
          <w:p>
            <w:r>
              <w:t xml:space="preserve">Test Case ID:CRR-TC-015 - Click Business &amp; Occupation Risk category and verify selection</w:t>
            </w:r>
          </w:p>
        </w:tc>
        <w:tc>
          <w:p>
            <w:r>
              <w:t xml:space="preserve">synchronization-issue</w:t>
            </w:r>
          </w:p>
        </w:tc>
      </w:tr>
      <w:tr>
        <w:tc>
          <w:p>
            <w:r>
              <w:t xml:space="preserve">CRR-TC-016</w:t>
            </w:r>
          </w:p>
        </w:tc>
        <w:tc>
          <w:p>
            <w:r>
              <w:t xml:space="preserve">Test Case ID:CRR-TC-016 - Click Customer Profile &amp; KYC Risk category and verify selection</w:t>
            </w:r>
          </w:p>
        </w:tc>
        <w:tc>
          <w:p>
            <w:r>
              <w:t xml:space="preserve">locator-issue</w:t>
            </w:r>
          </w:p>
        </w:tc>
      </w:tr>
      <w:tr>
        <w:tc>
          <w:p>
            <w:r>
              <w:t xml:space="preserve">CRR-TC-017</w:t>
            </w:r>
          </w:p>
        </w:tc>
        <w:tc>
          <w:p>
            <w:r>
              <w:t xml:space="preserve">Test Case ID:CRR-TC-017 - Click Product &amp; Service Risk category and verify selection</w:t>
            </w:r>
          </w:p>
        </w:tc>
        <w:tc>
          <w:p>
            <w:r>
              <w:t xml:space="preserve">locator-issue</w:t>
            </w:r>
          </w:p>
        </w:tc>
      </w:tr>
      <w:tr>
        <w:tc>
          <w:p>
            <w:r>
              <w:t xml:space="preserve">CRR-TC-018</w:t>
            </w:r>
          </w:p>
        </w:tc>
        <w:tc>
          <w:p>
            <w:r>
              <w:t xml:space="preserve">Test Case ID:CRR-TC-018 - Click Channel &amp; Delivery Risk category and verify selection</w:t>
            </w:r>
          </w:p>
        </w:tc>
        <w:tc>
          <w:p>
            <w:r>
              <w:t xml:space="preserve">locator-issue</w:t>
            </w:r>
          </w:p>
        </w:tc>
      </w:tr>
      <w:tr>
        <w:tc>
          <w:p>
            <w:r>
              <w:t xml:space="preserve">CRR-TC-019</w:t>
            </w:r>
          </w:p>
        </w:tc>
        <w:tc>
          <w:p>
            <w:r>
              <w:t xml:space="preserve">Test Case ID:CRR-TC-019 - Click Financial Profile Risk category and verify selection</w:t>
            </w:r>
          </w:p>
        </w:tc>
        <w:tc>
          <w:p>
            <w:r>
              <w:t xml:space="preserve">synchronization-issue</w:t>
            </w:r>
          </w:p>
        </w:tc>
      </w:tr>
      <w:tr>
        <w:tc>
          <w:p>
            <w:r>
              <w:t xml:space="preserve">CRR-TC-020</w:t>
            </w:r>
          </w:p>
        </w:tc>
        <w:tc>
          <w:p>
            <w:r>
              <w:t xml:space="preserve">Test Case ID:CRR-TC-020 - Click Entity Type &amp; Corporate Structure category and verify selection</w:t>
            </w:r>
          </w:p>
        </w:tc>
        <w:tc>
          <w:p>
            <w:r>
              <w:t xml:space="preserve">synchronization-issue</w:t>
            </w:r>
          </w:p>
        </w:tc>
      </w:tr>
      <w:tr>
        <w:tc>
          <w:p>
            <w:r>
              <w:t xml:space="preserve">CRR-TC-021</w:t>
            </w:r>
          </w:p>
        </w:tc>
        <w:tc>
          <w:p>
            <w:r>
              <w:t xml:space="preserve">Test Case ID:CRR-TC-021 - Verify navigation breadcrumb shows Configuration / Customer Risk Rating Configuration</w:t>
            </w:r>
          </w:p>
        </w:tc>
        <w:tc>
          <w:p>
            <w:r>
              <w:t xml:space="preserve">synchronization-issue</w:t>
            </w:r>
          </w:p>
        </w:tc>
      </w:tr>
      <w:tr>
        <w:tc>
          <w:p>
            <w:r>
              <w:t xml:space="preserve">CRR-TC-084</w:t>
            </w:r>
          </w:p>
        </w:tc>
        <w:tc>
          <w:p>
            <w:r>
              <w:t xml:space="preserve">Test Case ID:CRR-TC-084 - Reject or clamp High review frequency below minimum (2 months)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CRR-TC-085</w:t>
            </w:r>
          </w:p>
        </w:tc>
        <w:tc>
          <w:p>
            <w:r>
              <w:t xml:space="preserve">Test Case ID:CRR-TC-085 - Reject or clamp High review frequency above maximum (13 months)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CRR-TC-089</w:t>
            </w:r>
          </w:p>
        </w:tc>
        <w:tc>
          <w:p>
            <w:r>
              <w:t xml:space="preserve">Test Case ID:CRR-TC-089 - Reject or clamp Medium review frequency below minimum (11 months)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CRR-TC-090</w:t>
            </w:r>
          </w:p>
        </w:tc>
        <w:tc>
          <w:p>
            <w:r>
              <w:t xml:space="preserve">Test Case ID:CRR-TC-090 - Reject or clamp Medium review frequency above maximum (37 months)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CRR-TC-094</w:t>
            </w:r>
          </w:p>
        </w:tc>
        <w:tc>
          <w:p>
            <w:r>
              <w:t xml:space="preserve">Test Case ID:CRR-TC-094 - Reject or clamp Low review frequency below minimum (23 months)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CRR-TC-095</w:t>
            </w:r>
          </w:p>
        </w:tc>
        <w:tc>
          <w:p>
            <w:r>
              <w:t xml:space="preserve">Test Case ID:CRR-TC-095 - Reject or clamp Low review frequency above maximum (61 months)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CRR-TC-096</w:t>
            </w:r>
          </w:p>
        </w:tc>
        <w:tc>
          <w:p>
            <w:r>
              <w:t xml:space="preserve">Test Case ID:CRR-TC-096 - Save valid Periodic Review Schedule successfully for in-range values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CRR-TC-097</w:t>
            </w:r>
          </w:p>
        </w:tc>
        <w:tc>
          <w:p>
            <w:r>
              <w:t xml:space="preserve">Test Case ID:CRR-TC-097 - Periodic frequency change is not retroactive to already scheduled reviews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CRR-TC-098</w:t>
            </w:r>
          </w:p>
        </w:tc>
        <w:tc>
          <w:p>
            <w:r>
              <w:t xml:space="preserve">Test Case ID:CRR-TC-098 - Manual customer risk override resets periodic review start date to override date</w:t>
            </w:r>
          </w:p>
        </w:tc>
        <w:tc>
          <w:p>
            <w:r>
              <w:t xml:space="preserve">unclassified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2026-07-30T07:38:37.120Z</dcterms:created>
  <dcterms:modified xsi:type="dcterms:W3CDTF">2026-07-30T07:38:37.120Z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