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EEG Mind-Wandering Analysis</w:t>
      </w:r>
    </w:p>
    <w:p>
      <w:pPr>
        <w:spacing w:after="280"/>
      </w:pPr>
      <w:r>
        <w:rPr>
          <w:rFonts w:ascii="Calibri" w:hAnsi="Calibri"/>
          <w:i/>
          <w:color w:val="2C3E50"/>
          <w:sz w:val="28"/>
        </w:rPr>
        <w:t>Model Architectures, Overlapping Windowing Methodology, and Comprehensive Study Results</w:t>
      </w:r>
    </w:p>
    <w:p>
      <w:pPr>
        <w:spacing w:after="400"/>
      </w:pPr>
      <w:r>
        <w:rPr>
          <w:rFonts w:ascii="Calibri" w:hAnsi="Calibri"/>
          <w:color w:val="646464"/>
          <w:sz w:val="19"/>
        </w:rPr>
        <w:t>Project Reference: CMES / Mind-Wandering Neural Dynamics  |  Date: September 2026</w:t>
      </w:r>
    </w:p>
    <w:p>
      <w:pPr>
        <w:spacing w:after="320"/>
        <w:pBdr>
          <w:bottom w:val="single" w:sz="12" w:space="1" w:color="1B365D"/>
        </w:pBdr>
      </w:pPr>
    </w:p>
    <w:p>
      <w:pPr>
        <w:spacing w:before="280" w:after="120"/>
      </w:pPr>
      <w:r>
        <w:rPr>
          <w:rFonts w:ascii="Calibri" w:hAnsi="Calibri"/>
          <w:b/>
          <w:color w:val="1B365D"/>
          <w:sz w:val="32"/>
        </w:rPr>
        <w:t>1. Model Architectures: Extra Trees vs. Deep MLP</w:t>
      </w:r>
    </w:p>
    <w:p>
      <w:pPr>
        <w:spacing w:after="160" w:line="276" w:lineRule="auto"/>
      </w:pPr>
      <w:r>
        <w:t>In this research study, the classification of mental states (Focus vs. Mind Wandering) and the quantification of neural biomarkers relied on two complementary modeling paradigms: an ensemble tree-based algorithm (Extra Trees Classifier) and a high-capacity deep neural network (Deep Multi-Layer Perceptron).</w:t>
      </w:r>
    </w:p>
    <w:p>
      <w:pPr>
        <w:spacing w:before="200" w:after="80"/>
      </w:pPr>
      <w:r>
        <w:rPr>
          <w:rFonts w:ascii="Calibri" w:hAnsi="Calibri"/>
          <w:b/>
          <w:color w:val="2C3E50"/>
          <w:sz w:val="26"/>
        </w:rPr>
        <w:t>1.1 Extra Trees (Extremely Randomized Trees)</w:t>
      </w:r>
    </w:p>
    <w:p>
      <w:pPr>
        <w:spacing w:after="120" w:line="276" w:lineRule="auto"/>
      </w:pPr>
      <w:r>
        <w:t>Extra Trees (Geurts et al., 2006) is an ensemble of unpruned decision trees built upon extreme randomization. While structurally related to standard Random Forests, Extra Trees introduces two fundamental distinctions:</w:t>
      </w:r>
    </w:p>
    <w:p>
      <w:pPr>
        <w:pStyle w:val="ListBullet"/>
        <w:spacing w:after="60"/>
      </w:pPr>
      <w:r>
        <w:rPr>
          <w:b/>
        </w:rPr>
        <w:t xml:space="preserve">Randomized Split Cut-Points: </w:t>
      </w:r>
      <w:r>
        <w:t>Instead of computing the mathematically optimal split threshold across all possible values of a candidate feature (as in standard Random Forests), Extra Trees draws a split threshold completely at random from a uniform distribution over the feature's empirical range [min, max]. It only evaluates impurity reduction among these randomly selected cut-points, choosing the best one.</w:t>
      </w:r>
    </w:p>
    <w:p>
      <w:pPr>
        <w:pStyle w:val="ListBullet"/>
        <w:spacing w:after="120"/>
      </w:pPr>
      <w:r>
        <w:rPr>
          <w:b/>
        </w:rPr>
        <w:t xml:space="preserve">Full Sample Utilization (No Bagging by Default): </w:t>
      </w:r>
      <w:r>
        <w:t>Unlike Random Forests which rely on bootstrap aggregation (bagging), Extra Trees fits each tree on the complete dataset. Inter-tree diversity is achieved entirely through the extreme randomization of features and cut-points. This minimizes bias while dramatically decreasing variance.</w:t>
      </w:r>
    </w:p>
    <w:p>
      <w:pPr>
        <w:spacing w:after="120" w:line="276" w:lineRule="auto"/>
      </w:pPr>
      <w:r>
        <w:rPr>
          <w:b/>
        </w:rPr>
        <w:t xml:space="preserve">Feature Importance via Mean Decrease in Impurity (MDI): </w:t>
      </w:r>
      <w:r>
        <w:t>For each split node t splitting on feature f, the reduction in Gini impurity ΔG(t) is computed as:</w:t>
        <w:br/>
        <w:t xml:space="preserve">    G(t) = 1 - Σ (p_c)^2</w:t>
        <w:br/>
        <w:t xml:space="preserve">    ΔG(t) = (N_t / N) * [ G(t) - (N_L / N_t)*G(t_L) - (N_R / N_t)*G(t_R) ]</w:t>
        <w:br/>
        <w:t>The overall importance of feature f is calculated by averaging impurity reductions across all M trees in the ensemble. In the study, these importances were summed across frequency bands (Delta, Theta, Alpha, Beta, Gamma) and umbrella feature families to discover which physiological signals most decisively index mind wandering.</w:t>
      </w:r>
    </w:p>
    <w:p>
      <w:pPr>
        <w:spacing w:before="200" w:after="80"/>
      </w:pPr>
      <w:r>
        <w:rPr>
          <w:rFonts w:ascii="Calibri" w:hAnsi="Calibri"/>
          <w:b/>
          <w:color w:val="2C3E50"/>
          <w:sz w:val="26"/>
        </w:rPr>
        <w:t>1.2 Deep Multi-Layer Perceptron (Deep MLP)</w:t>
      </w:r>
    </w:p>
    <w:p>
      <w:pPr>
        <w:spacing w:after="120" w:line="276" w:lineRule="auto"/>
      </w:pPr>
      <w:r>
        <w:t>The Deep MLP is a deep feedforward artificial neural network implemented in PyTorch, designed as a high-capacity non-linear benchmark. It tests whether complex hierarchical representations outperform simple linear classifiers on high-dimensional multi-domain EEG feature vectors.</w:t>
      </w:r>
    </w:p>
    <w:p>
      <w:pPr>
        <w:pStyle w:val="ListBullet"/>
        <w:spacing w:after="60"/>
      </w:pPr>
      <w:r>
        <w:rPr>
          <w:b/>
        </w:rPr>
        <w:t xml:space="preserve">Architecture &amp; Compressive Funnel: </w:t>
      </w:r>
      <w:r>
        <w:t>The network projects high-dimensional inputs through successively compressing latent spaces:</w:t>
        <w:br/>
        <w:t xml:space="preserve">    Dataset 1 (19 channels): D -&gt; 512 -&gt; 256 -&gt; 128 -&gt; 1</w:t>
        <w:br/>
        <w:t xml:space="preserve">    Dataset 2 (64 channels): D -&gt; 1024 -&gt; 512 -&gt; 256 -&gt; 128 -&gt; 1</w:t>
      </w:r>
    </w:p>
    <w:p>
      <w:pPr>
        <w:pStyle w:val="ListBullet"/>
        <w:spacing w:after="60"/>
      </w:pPr>
      <w:r>
        <w:rPr>
          <w:b/>
        </w:rPr>
        <w:t xml:space="preserve">Layer Normalization &amp; Activations: </w:t>
      </w:r>
      <w:r>
        <w:t>Each hidden linear transformation is immediately followed by Batch Normalization (BatchNorm1d) to stabilize gradient flow and eliminate internal covariate shift, followed by GELU (Gaussian Error Linear Unit) activations, which provide smooth, differentiable probabilistic non-linear gating.</w:t>
      </w:r>
    </w:p>
    <w:p>
      <w:pPr>
        <w:pStyle w:val="ListBullet"/>
        <w:spacing w:after="60"/>
      </w:pPr>
      <w:r>
        <w:rPr>
          <w:b/>
        </w:rPr>
        <w:t xml:space="preserve">Hierarchical Dropout Regularization: </w:t>
      </w:r>
      <w:r>
        <w:t>Dropout rates scale down progressively through depth (0.50 -&gt; 0.40 -&gt; 0.30 -&gt; 0.20) to prevent co-adaptation in the wide early layers while retaining sharp decision boundaries near the output.</w:t>
      </w:r>
    </w:p>
    <w:p>
      <w:pPr>
        <w:pStyle w:val="ListBullet"/>
        <w:spacing w:after="120"/>
      </w:pPr>
      <w:r>
        <w:rPr>
          <w:b/>
        </w:rPr>
        <w:t xml:space="preserve">Loss Function &amp; Optimization: </w:t>
      </w:r>
      <w:r>
        <w:t>Trained using Binary Cross-Entropy with Logits (BCEWithLogitsLoss) augmented with class-imbalance positive weighting (pos_weight = N_neg / N_pos), optimized via AdamW with weight decay, dynamic ReduceLROnPlateau learning rate decay, and early stopping on inner validation loss.</w:t>
      </w:r>
    </w:p>
    <w:p>
      <w:pPr>
        <w:spacing w:before="160" w:after="80"/>
      </w:pPr>
      <w:r>
        <w:rPr>
          <w:b/>
          <w:color w:val="1B365D"/>
          <w:sz w:val="21"/>
        </w:rPr>
        <w:t>Table 1: Architectural Comparison between Extra Trees and Deep MLP</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20" w:type="dxa"/>
              <w:bottom w:w="120" w:type="dxa"/>
              <w:left w:w="150" w:type="dxa"/>
              <w:right w:w="150" w:type="dxa"/>
            </w:tcMar>
          </w:tcPr>
          <w:p>
            <w:r>
              <w:rPr>
                <w:b/>
                <w:color w:val="FFFFFF"/>
                <w:sz w:val="19"/>
              </w:rPr>
              <w:t>Dimension</w:t>
            </w:r>
          </w:p>
        </w:tc>
        <w:tc>
          <w:tcPr>
            <w:tcW w:type="dxa" w:w="3120"/>
            <w:shd w:fill="1B365D"/>
            <w:tcMar>
              <w:top w:w="120" w:type="dxa"/>
              <w:bottom w:w="120" w:type="dxa"/>
              <w:left w:w="150" w:type="dxa"/>
              <w:right w:w="150" w:type="dxa"/>
            </w:tcMar>
          </w:tcPr>
          <w:p>
            <w:r>
              <w:rPr>
                <w:b/>
                <w:color w:val="FFFFFF"/>
                <w:sz w:val="19"/>
              </w:rPr>
              <w:t>Extra Trees Classifier</w:t>
            </w:r>
          </w:p>
        </w:tc>
        <w:tc>
          <w:tcPr>
            <w:tcW w:type="dxa" w:w="3120"/>
            <w:shd w:fill="1B365D"/>
            <w:tcMar>
              <w:top w:w="120" w:type="dxa"/>
              <w:bottom w:w="120" w:type="dxa"/>
              <w:left w:w="150" w:type="dxa"/>
              <w:right w:w="150" w:type="dxa"/>
            </w:tcMar>
          </w:tcPr>
          <w:p>
            <w:r>
              <w:rPr>
                <w:b/>
                <w:color w:val="FFFFFF"/>
                <w:sz w:val="19"/>
              </w:rPr>
              <w:t>Deep Multi-Layer Perceptron (MLP)</w:t>
            </w:r>
          </w:p>
        </w:tc>
      </w:tr>
      <w:tr>
        <w:tc>
          <w:tcPr>
            <w:tcW w:type="dxa" w:w="3120"/>
            <w:shd w:fill="F4F6F7"/>
            <w:tcMar>
              <w:top w:w="100" w:type="dxa"/>
              <w:bottom w:w="100" w:type="dxa"/>
              <w:left w:w="150" w:type="dxa"/>
              <w:right w:w="150" w:type="dxa"/>
            </w:tcMar>
          </w:tcPr>
          <w:p>
            <w:r>
              <w:rPr>
                <w:b/>
                <w:sz w:val="18"/>
              </w:rPr>
              <w:t>Model Family</w:t>
            </w:r>
          </w:p>
        </w:tc>
        <w:tc>
          <w:tcPr>
            <w:tcW w:type="dxa" w:w="3120"/>
            <w:shd w:fill="F4F6F7"/>
            <w:tcMar>
              <w:top w:w="100" w:type="dxa"/>
              <w:bottom w:w="100" w:type="dxa"/>
              <w:left w:w="150" w:type="dxa"/>
              <w:right w:w="150" w:type="dxa"/>
            </w:tcMar>
          </w:tcPr>
          <w:p>
            <w:r>
              <w:rPr>
                <w:sz w:val="18"/>
              </w:rPr>
              <w:t>Non-parametric ensemble of randomized decision trees</w:t>
            </w:r>
          </w:p>
        </w:tc>
        <w:tc>
          <w:tcPr>
            <w:tcW w:type="dxa" w:w="3120"/>
            <w:shd w:fill="F4F6F7"/>
            <w:tcMar>
              <w:top w:w="100" w:type="dxa"/>
              <w:bottom w:w="100" w:type="dxa"/>
              <w:left w:w="150" w:type="dxa"/>
              <w:right w:w="150" w:type="dxa"/>
            </w:tcMar>
          </w:tcPr>
          <w:p>
            <w:r>
              <w:rPr>
                <w:sz w:val="18"/>
              </w:rPr>
              <w:t>Parametric deep artificial neural network</w:t>
            </w:r>
          </w:p>
        </w:tc>
      </w:tr>
      <w:tr>
        <w:tc>
          <w:tcPr>
            <w:tcW w:type="dxa" w:w="3120"/>
            <w:shd w:fill="FFFFFF"/>
            <w:tcMar>
              <w:top w:w="100" w:type="dxa"/>
              <w:bottom w:w="100" w:type="dxa"/>
              <w:left w:w="150" w:type="dxa"/>
              <w:right w:w="150" w:type="dxa"/>
            </w:tcMar>
          </w:tcPr>
          <w:p>
            <w:r>
              <w:rPr>
                <w:b/>
                <w:sz w:val="18"/>
              </w:rPr>
              <w:t>Decision Boundary</w:t>
            </w:r>
          </w:p>
        </w:tc>
        <w:tc>
          <w:tcPr>
            <w:tcW w:type="dxa" w:w="3120"/>
            <w:shd w:fill="FFFFFF"/>
            <w:tcMar>
              <w:top w:w="100" w:type="dxa"/>
              <w:bottom w:w="100" w:type="dxa"/>
              <w:left w:w="150" w:type="dxa"/>
              <w:right w:w="150" w:type="dxa"/>
            </w:tcMar>
          </w:tcPr>
          <w:p>
            <w:r>
              <w:rPr>
                <w:sz w:val="18"/>
              </w:rPr>
              <w:t>Orthogonal, axis-aligned step-wise hyperplanes</w:t>
            </w:r>
          </w:p>
        </w:tc>
        <w:tc>
          <w:tcPr>
            <w:tcW w:type="dxa" w:w="3120"/>
            <w:shd w:fill="FFFFFF"/>
            <w:tcMar>
              <w:top w:w="100" w:type="dxa"/>
              <w:bottom w:w="100" w:type="dxa"/>
              <w:left w:w="150" w:type="dxa"/>
              <w:right w:w="150" w:type="dxa"/>
            </w:tcMar>
          </w:tcPr>
          <w:p>
            <w:r>
              <w:rPr>
                <w:sz w:val="18"/>
              </w:rPr>
              <w:t>Smooth, continuous non-linear manifold</w:t>
            </w:r>
          </w:p>
        </w:tc>
      </w:tr>
      <w:tr>
        <w:tc>
          <w:tcPr>
            <w:tcW w:type="dxa" w:w="3120"/>
            <w:shd w:fill="F4F6F7"/>
            <w:tcMar>
              <w:top w:w="100" w:type="dxa"/>
              <w:bottom w:w="100" w:type="dxa"/>
              <w:left w:w="150" w:type="dxa"/>
              <w:right w:w="150" w:type="dxa"/>
            </w:tcMar>
          </w:tcPr>
          <w:p>
            <w:r>
              <w:rPr>
                <w:b/>
                <w:sz w:val="18"/>
              </w:rPr>
              <w:t>Feature Scaling</w:t>
            </w:r>
          </w:p>
        </w:tc>
        <w:tc>
          <w:tcPr>
            <w:tcW w:type="dxa" w:w="3120"/>
            <w:shd w:fill="F4F6F7"/>
            <w:tcMar>
              <w:top w:w="100" w:type="dxa"/>
              <w:bottom w:w="100" w:type="dxa"/>
              <w:left w:w="150" w:type="dxa"/>
              <w:right w:w="150" w:type="dxa"/>
            </w:tcMar>
          </w:tcPr>
          <w:p>
            <w:r>
              <w:rPr>
                <w:sz w:val="18"/>
              </w:rPr>
              <w:t>Scale-invariant (handles raw unscaled inputs directly)</w:t>
            </w:r>
          </w:p>
        </w:tc>
        <w:tc>
          <w:tcPr>
            <w:tcW w:type="dxa" w:w="3120"/>
            <w:shd w:fill="F4F6F7"/>
            <w:tcMar>
              <w:top w:w="100" w:type="dxa"/>
              <w:bottom w:w="100" w:type="dxa"/>
              <w:left w:w="150" w:type="dxa"/>
              <w:right w:w="150" w:type="dxa"/>
            </w:tcMar>
          </w:tcPr>
          <w:p>
            <w:r>
              <w:rPr>
                <w:sz w:val="18"/>
              </w:rPr>
              <w:t>Highly sensitive; requires StandardScaler &amp; BatchNorm</w:t>
            </w:r>
          </w:p>
        </w:tc>
      </w:tr>
      <w:tr>
        <w:tc>
          <w:tcPr>
            <w:tcW w:type="dxa" w:w="3120"/>
            <w:shd w:fill="FFFFFF"/>
            <w:tcMar>
              <w:top w:w="100" w:type="dxa"/>
              <w:bottom w:w="100" w:type="dxa"/>
              <w:left w:w="150" w:type="dxa"/>
              <w:right w:w="150" w:type="dxa"/>
            </w:tcMar>
          </w:tcPr>
          <w:p>
            <w:r>
              <w:rPr>
                <w:b/>
                <w:sz w:val="18"/>
              </w:rPr>
              <w:t>Primary Study Role</w:t>
            </w:r>
          </w:p>
        </w:tc>
        <w:tc>
          <w:tcPr>
            <w:tcW w:type="dxa" w:w="3120"/>
            <w:shd w:fill="FFFFFF"/>
            <w:tcMar>
              <w:top w:w="100" w:type="dxa"/>
              <w:bottom w:w="100" w:type="dxa"/>
              <w:left w:w="150" w:type="dxa"/>
              <w:right w:w="150" w:type="dxa"/>
            </w:tcMar>
          </w:tcPr>
          <w:p>
            <w:r>
              <w:rPr>
                <w:sz w:val="18"/>
              </w:rPr>
              <w:t>Feature importance ranking &amp; family contribution analysis</w:t>
            </w:r>
          </w:p>
        </w:tc>
        <w:tc>
          <w:tcPr>
            <w:tcW w:type="dxa" w:w="3120"/>
            <w:shd w:fill="FFFFFF"/>
            <w:tcMar>
              <w:top w:w="100" w:type="dxa"/>
              <w:bottom w:w="100" w:type="dxa"/>
              <w:left w:w="150" w:type="dxa"/>
              <w:right w:w="150" w:type="dxa"/>
            </w:tcMar>
          </w:tcPr>
          <w:p>
            <w:r>
              <w:rPr>
                <w:sz w:val="18"/>
              </w:rPr>
              <w:t>High-capacity non-linear classification baseline</w:t>
            </w:r>
          </w:p>
        </w:tc>
      </w:tr>
      <w:tr>
        <w:tc>
          <w:tcPr>
            <w:tcW w:type="dxa" w:w="3120"/>
            <w:shd w:fill="F4F6F7"/>
            <w:tcMar>
              <w:top w:w="100" w:type="dxa"/>
              <w:bottom w:w="100" w:type="dxa"/>
              <w:left w:w="150" w:type="dxa"/>
              <w:right w:w="150" w:type="dxa"/>
            </w:tcMar>
          </w:tcPr>
          <w:p>
            <w:r>
              <w:rPr>
                <w:b/>
                <w:sz w:val="18"/>
              </w:rPr>
              <w:t>Key Hyperparameters</w:t>
            </w:r>
          </w:p>
        </w:tc>
        <w:tc>
          <w:tcPr>
            <w:tcW w:type="dxa" w:w="3120"/>
            <w:shd w:fill="F4F6F7"/>
            <w:tcMar>
              <w:top w:w="100" w:type="dxa"/>
              <w:bottom w:w="100" w:type="dxa"/>
              <w:left w:w="150" w:type="dxa"/>
              <w:right w:w="150" w:type="dxa"/>
            </w:tcMar>
          </w:tcPr>
          <w:p>
            <w:r>
              <w:rPr>
                <w:sz w:val="18"/>
              </w:rPr>
              <w:t>n_estimators (300-500), max_features (sqrt(D))</w:t>
            </w:r>
          </w:p>
        </w:tc>
        <w:tc>
          <w:tcPr>
            <w:tcW w:type="dxa" w:w="3120"/>
            <w:shd w:fill="F4F6F7"/>
            <w:tcMar>
              <w:top w:w="100" w:type="dxa"/>
              <w:bottom w:w="100" w:type="dxa"/>
              <w:left w:w="150" w:type="dxa"/>
              <w:right w:w="150" w:type="dxa"/>
            </w:tcMar>
          </w:tcPr>
          <w:p>
            <w:r>
              <w:rPr>
                <w:sz w:val="18"/>
              </w:rPr>
              <w:t>Hidden units (1024..128), Dropout, AdamW lr, weight decay</w:t>
            </w:r>
          </w:p>
        </w:tc>
      </w:tr>
    </w:tbl>
    <w:p>
      <w:pPr>
        <w:spacing w:before="400" w:after="120"/>
      </w:pPr>
      <w:r>
        <w:rPr>
          <w:rFonts w:ascii="Calibri" w:hAnsi="Calibri"/>
          <w:b/>
          <w:color w:val="1B365D"/>
          <w:sz w:val="32"/>
        </w:rPr>
        <w:t>2. Overlapping Windowing Methodology (1.5-Second Windows)</w:t>
      </w:r>
    </w:p>
    <w:p>
      <w:pPr>
        <w:spacing w:after="120" w:line="276" w:lineRule="auto"/>
      </w:pPr>
      <w:r>
        <w:t>Rather than analyzing each 5-second trial (epoch) as a monolithic block, the feature extraction pipeline applies a sliding window technique: slicing each 5-second epoch into 1.5-second windows advancing with a 0.5-second step.</w:t>
      </w:r>
    </w:p>
    <w:p>
      <w:pPr>
        <w:spacing w:before="80" w:after="120"/>
        <w:ind w:left="360"/>
      </w:pPr>
      <w:r>
        <w:rPr>
          <w:b/>
          <w:color w:val="2C3E50"/>
        </w:rPr>
        <w:t>Mathematical &amp; Sampling Parameters (at fs = 256 Hz):</w:t>
        <w:br/>
      </w:r>
      <w:r>
        <w:t>• Window Length: 1.5 seconds = 384 discrete EEG time samples</w:t>
        <w:br/>
        <w:t>• Step Size (Stride): 0.5 seconds = 128 discrete EEG time samples</w:t>
        <w:br/>
        <w:t>• Overlap Duration: 1.0 second = 256 discrete time samples (66.7% overlap)</w:t>
        <w:br/>
        <w:t>• Yield: Each 5.0-second epoch yields 7 to 8 sequential, overlapping feature snapshots.</w:t>
      </w:r>
    </w:p>
    <w:p>
      <w:pPr>
        <w:spacing w:before="80" w:after="160"/>
        <w:ind w:left="360"/>
      </w:pPr>
      <w:r>
        <w:rPr>
          <w:rFonts w:ascii="Consolas" w:hAnsi="Consolas"/>
          <w:color w:val="2C3E50"/>
          <w:sz w:val="17"/>
        </w:rPr>
        <w:t>Timeline Visualization:</w:t>
        <w:br/>
        <w:t>0.0s        1.0s        2.0s        3.0s        4.0s        5.0s</w:t>
        <w:br/>
        <w:t>|-----------|-----------|-----------|-----------|-----------|</w:t>
        <w:br/>
        <w:t>[ Window 1: 0.0s - 1.5s ]</w:t>
        <w:br/>
        <w:t xml:space="preserve">      [ Window 2: 0.5s - 2.0s ]</w:t>
        <w:br/>
        <w:t xml:space="preserve">            [ Window 3: 1.0s - 2.5s ]</w:t>
        <w:br/>
        <w:t xml:space="preserve">                  [ Window 4: 1.5s - 3.0s ]</w:t>
        <w:br/>
        <w:t xml:space="preserve">                        [ Window 5: 2.0s - 3.5s ]</w:t>
        <w:br/>
        <w:t xml:space="preserve">                              [ Window 6: 2.5s - 4.0s ]</w:t>
        <w:br/>
        <w:t xml:space="preserve">                                    [ Window 7: 3.0s - 4.5s ]</w:t>
        <w:br/>
        <w:t xml:space="preserve">                                          [ Window 8: 3.5s - 5.0s ]</w:t>
      </w:r>
    </w:p>
    <w:p>
      <w:pPr>
        <w:spacing w:before="200" w:after="80"/>
      </w:pPr>
      <w:r>
        <w:rPr>
          <w:rFonts w:ascii="Calibri" w:hAnsi="Calibri"/>
          <w:b/>
          <w:color w:val="2C3E50"/>
          <w:sz w:val="26"/>
        </w:rPr>
        <w:t>2.1 The Four Scientific &amp; Engineering Rationale</w:t>
      </w:r>
    </w:p>
    <w:p>
      <w:pPr>
        <w:pStyle w:val="ListBullet"/>
        <w:spacing w:after="80"/>
      </w:pPr>
      <w:r>
        <w:rPr>
          <w:b/>
        </w:rPr>
        <w:t xml:space="preserve">1. Quasi-Stationarity of EEG Rhythms: </w:t>
      </w:r>
      <w:r>
        <w:t>Standard spectral transforms (such as Welch PSD and Hilbert transforms) assume statistical stationarity. Over 5 seconds, brain dynamics are highly non-stationary. Over 1.5 seconds, signals exhibit quasi-stationarity, yielding cleaner frequency estimation while remaining long enough to capture low-frequency Delta (1-4 Hz) cycles.</w:t>
      </w:r>
    </w:p>
    <w:p>
      <w:pPr>
        <w:pStyle w:val="ListBullet"/>
        <w:spacing w:after="80"/>
      </w:pPr>
      <w:r>
        <w:rPr>
          <w:b/>
        </w:rPr>
        <w:t xml:space="preserve">2. Tracking Micro-Temporal Trajectories: </w:t>
      </w:r>
      <w:r>
        <w:t>Mind wandering is an evolving cognitive process rather than an instantaneous binary state. By generating 8 snapshots per trial, models can trace temporal trajectory slopes—such as the progressive rise of Delta power and steep divergence of Beta oscillations.</w:t>
      </w:r>
    </w:p>
    <w:p>
      <w:pPr>
        <w:pStyle w:val="ListBullet"/>
        <w:spacing w:after="80"/>
      </w:pPr>
      <w:r>
        <w:rPr>
          <w:b/>
        </w:rPr>
        <w:t xml:space="preserve">3. Effective Dataset Augmentation: </w:t>
      </w:r>
      <w:r>
        <w:t>Deep learning networks require substantial training data to tune weights without overfitting. Slicing trials into overlapping windows expands small trial counts (e.g., 40 epochs per subject) into 280-320 high-dimensional training feature vectors.</w:t>
      </w:r>
    </w:p>
    <w:p>
      <w:pPr>
        <w:pStyle w:val="ListBullet"/>
        <w:spacing w:after="80"/>
      </w:pPr>
      <w:r>
        <w:rPr>
          <w:b/>
        </w:rPr>
        <w:t xml:space="preserve">4. Noise Smoothing via Window-to-Epoch Voting: </w:t>
      </w:r>
      <w:r>
        <w:t>Transient artifacts (e.g., a momentary blink or swallow at second 2.5) only corrupt 2-3 windows. At test time, predictions are computed per window and averaged across the epoch: P(Epoch) = (1/W) * Σ P(Window_w). If 6 of 8 windows predict Mind Wandering, the trial is accurately classified, filtering out momentary noise.</w:t>
      </w:r>
    </w:p>
    <w:p>
      <w:pPr>
        <w:spacing w:before="160" w:after="80"/>
      </w:pPr>
      <w:r>
        <w:rPr>
          <w:rFonts w:ascii="Calibri" w:hAnsi="Calibri"/>
          <w:b/>
          <w:color w:val="2C3E50"/>
          <w:sz w:val="26"/>
        </w:rPr>
        <w:t>2.2 Prevention of Data Leakage (Stratified Grouped Validation)</w:t>
      </w:r>
    </w:p>
    <w:p>
      <w:pPr>
        <w:spacing w:after="200" w:line="276" w:lineRule="auto"/>
      </w:pPr>
      <w:r>
        <w:t xml:space="preserve">Because adjacent overlapping windows share 66.7% of identical raw EEG signal, standard random cross-validation would lead to catastrophic data leakage (the test set would contain data already seen in training). To guarantee rigorous scientific integrity, all models employ </w:t>
      </w:r>
      <w:r>
        <w:rPr>
          <w:b/>
        </w:rPr>
        <w:t>StratifiedGroupKFold grouped strictly by (Subject, Epoch_ID)</w:t>
      </w:r>
      <w:r>
        <w:t>. All overlapping windows originating from a given 5-second trial are entirely confined to either the training fold or the testing fold.</w:t>
      </w:r>
    </w:p>
    <w:p>
      <w:pPr>
        <w:spacing w:before="400" w:after="120"/>
      </w:pPr>
      <w:r>
        <w:rPr>
          <w:rFonts w:ascii="Calibri" w:hAnsi="Calibri"/>
          <w:b/>
          <w:color w:val="1B365D"/>
          <w:sz w:val="32"/>
        </w:rPr>
        <w:t>3. Comprehensive Summary of Study Findings</w:t>
      </w:r>
    </w:p>
    <w:p>
      <w:pPr>
        <w:spacing w:before="160" w:after="80"/>
      </w:pPr>
      <w:r>
        <w:rPr>
          <w:rFonts w:ascii="Calibri" w:hAnsi="Calibri"/>
          <w:b/>
          <w:color w:val="2C3E50"/>
          <w:sz w:val="26"/>
        </w:rPr>
        <w:t>3.1 Classification Performance: Simple Models Are Sufficient</w:t>
      </w:r>
    </w:p>
    <w:p>
      <w:pPr>
        <w:spacing w:after="120" w:line="276" w:lineRule="auto"/>
      </w:pPr>
      <w:r>
        <w:t>A central thesis of the study is that classifier complexity is secondary to rich multi-domain feature representation. Standard linear and kernel models reliably matched or exceeded the deep neural network across both datasets:</w:t>
      </w:r>
    </w:p>
    <w:p>
      <w:pPr>
        <w:pStyle w:val="ListBullet"/>
        <w:spacing w:after="60"/>
      </w:pPr>
      <w:r>
        <w:rPr>
          <w:b/>
        </w:rPr>
        <w:t xml:space="preserve">Dataset 2 (64-channel BIOSEMI): </w:t>
      </w:r>
      <w:r>
        <w:t>Regularized Logistic Regression achieved the highest overall accuracy of 88.06% (F1: 86.60%, ROC-AUC: 94.28%) on Raw data and 86.06% on ICA-cleaned data, slightly outperforming both the Deep MLP (85.96% Raw / 86.06% Cleaned) and SVM (84.91% across both).</w:t>
      </w:r>
    </w:p>
    <w:p>
      <w:pPr>
        <w:pStyle w:val="ListBullet"/>
        <w:spacing w:after="60"/>
      </w:pPr>
      <w:r>
        <w:rPr>
          <w:b/>
        </w:rPr>
        <w:t xml:space="preserve">Dataset 1 (19-channel Nexus-32): </w:t>
      </w:r>
      <w:r>
        <w:t>Support Vector Machines (68.30% Raw / 68.00% Cleaned) and Deep MLP (67.40% Raw / 68.00% Cleaned) performed on par at ~68%.</w:t>
      </w:r>
    </w:p>
    <w:p>
      <w:pPr>
        <w:pStyle w:val="ListBullet"/>
        <w:spacing w:after="120"/>
      </w:pPr>
      <w:r>
        <w:rPr>
          <w:b/>
        </w:rPr>
        <w:t xml:space="preserve">ICA Preprocessing Stability: </w:t>
      </w:r>
      <w:r>
        <w:t>Under standardized 0.5-45 Hz filtering, ICA ocular cleaning caused no degradation in classification performance (e.g., SVM held an identical 84.91% across Raw and Cleaned conditions in Dataset 2), confirming that task-discriminative neural representations are fully preserved.</w:t>
      </w:r>
    </w:p>
    <w:p>
      <w:pPr>
        <w:spacing w:before="160" w:after="80"/>
      </w:pPr>
      <w:r>
        <w:rPr>
          <w:b/>
          <w:color w:val="1B365D"/>
          <w:sz w:val="21"/>
        </w:rPr>
        <w:t>Table 2: Classification Performance Across Datasets, Conditions, and Models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120" w:type="dxa"/>
              <w:bottom w:w="120" w:type="dxa"/>
              <w:left w:w="100" w:type="dxa"/>
              <w:right w:w="100" w:type="dxa"/>
            </w:tcMar>
          </w:tcPr>
          <w:p>
            <w:r>
              <w:rPr>
                <w:b/>
                <w:color w:val="FFFFFF"/>
                <w:sz w:val="17"/>
              </w:rPr>
              <w:t>Dataset</w:t>
            </w:r>
          </w:p>
        </w:tc>
        <w:tc>
          <w:tcPr>
            <w:tcW w:type="dxa" w:w="1337"/>
            <w:shd w:fill="1B365D"/>
            <w:tcMar>
              <w:top w:w="120" w:type="dxa"/>
              <w:bottom w:w="120" w:type="dxa"/>
              <w:left w:w="100" w:type="dxa"/>
              <w:right w:w="100" w:type="dxa"/>
            </w:tcMar>
          </w:tcPr>
          <w:p>
            <w:r>
              <w:rPr>
                <w:b/>
                <w:color w:val="FFFFFF"/>
                <w:sz w:val="17"/>
              </w:rPr>
              <w:t>Condition</w:t>
            </w:r>
          </w:p>
        </w:tc>
        <w:tc>
          <w:tcPr>
            <w:tcW w:type="dxa" w:w="1337"/>
            <w:shd w:fill="1B365D"/>
            <w:tcMar>
              <w:top w:w="120" w:type="dxa"/>
              <w:bottom w:w="120" w:type="dxa"/>
              <w:left w:w="100" w:type="dxa"/>
              <w:right w:w="100" w:type="dxa"/>
            </w:tcMar>
          </w:tcPr>
          <w:p>
            <w:r>
              <w:rPr>
                <w:b/>
                <w:color w:val="FFFFFF"/>
                <w:sz w:val="17"/>
              </w:rPr>
              <w:t>Model</w:t>
            </w:r>
          </w:p>
        </w:tc>
        <w:tc>
          <w:tcPr>
            <w:tcW w:type="dxa" w:w="1337"/>
            <w:shd w:fill="1B365D"/>
            <w:tcMar>
              <w:top w:w="120" w:type="dxa"/>
              <w:bottom w:w="120" w:type="dxa"/>
              <w:left w:w="100" w:type="dxa"/>
              <w:right w:w="100" w:type="dxa"/>
            </w:tcMar>
          </w:tcPr>
          <w:p>
            <w:r>
              <w:rPr>
                <w:b/>
                <w:color w:val="FFFFFF"/>
                <w:sz w:val="17"/>
              </w:rPr>
              <w:t>Accuracy (%)</w:t>
            </w:r>
          </w:p>
        </w:tc>
        <w:tc>
          <w:tcPr>
            <w:tcW w:type="dxa" w:w="1337"/>
            <w:shd w:fill="1B365D"/>
            <w:tcMar>
              <w:top w:w="120" w:type="dxa"/>
              <w:bottom w:w="120" w:type="dxa"/>
              <w:left w:w="100" w:type="dxa"/>
              <w:right w:w="100" w:type="dxa"/>
            </w:tcMar>
          </w:tcPr>
          <w:p>
            <w:r>
              <w:rPr>
                <w:b/>
                <w:color w:val="FFFFFF"/>
                <w:sz w:val="17"/>
              </w:rPr>
              <w:t>Precision (%)</w:t>
            </w:r>
          </w:p>
        </w:tc>
        <w:tc>
          <w:tcPr>
            <w:tcW w:type="dxa" w:w="1337"/>
            <w:shd w:fill="1B365D"/>
            <w:tcMar>
              <w:top w:w="120" w:type="dxa"/>
              <w:bottom w:w="120" w:type="dxa"/>
              <w:left w:w="100" w:type="dxa"/>
              <w:right w:w="100" w:type="dxa"/>
            </w:tcMar>
          </w:tcPr>
          <w:p>
            <w:r>
              <w:rPr>
                <w:b/>
                <w:color w:val="FFFFFF"/>
                <w:sz w:val="17"/>
              </w:rPr>
              <w:t>Recall (%)</w:t>
            </w:r>
          </w:p>
        </w:tc>
        <w:tc>
          <w:tcPr>
            <w:tcW w:type="dxa" w:w="1337"/>
            <w:shd w:fill="1B365D"/>
            <w:tcMar>
              <w:top w:w="120" w:type="dxa"/>
              <w:bottom w:w="120" w:type="dxa"/>
              <w:left w:w="100" w:type="dxa"/>
              <w:right w:w="100" w:type="dxa"/>
            </w:tcMar>
          </w:tcPr>
          <w:p>
            <w:r>
              <w:rPr>
                <w:b/>
                <w:color w:val="FFFFFF"/>
                <w:sz w:val="17"/>
              </w:rPr>
              <w:t>ROC-AUC (%)</w:t>
            </w:r>
          </w:p>
        </w:tc>
      </w:tr>
      <w:tr>
        <w:tc>
          <w:tcPr>
            <w:tcW w:type="dxa" w:w="1337"/>
            <w:shd w:fill="F4F6F7"/>
            <w:tcMar>
              <w:top w:w="80" w:type="dxa"/>
              <w:bottom w:w="80" w:type="dxa"/>
              <w:left w:w="100" w:type="dxa"/>
              <w:right w:w="100" w:type="dxa"/>
            </w:tcMar>
          </w:tcPr>
          <w:p>
            <w:r>
              <w:rPr>
                <w:sz w:val="17"/>
              </w:rPr>
              <w:t>Dataset 1 (19-ch)</w:t>
            </w:r>
          </w:p>
        </w:tc>
        <w:tc>
          <w:tcPr>
            <w:tcW w:type="dxa" w:w="1337"/>
            <w:shd w:fill="F4F6F7"/>
            <w:tcMar>
              <w:top w:w="80" w:type="dxa"/>
              <w:bottom w:w="80" w:type="dxa"/>
              <w:left w:w="100" w:type="dxa"/>
              <w:right w:w="100" w:type="dxa"/>
            </w:tcMar>
          </w:tcPr>
          <w:p>
            <w:r>
              <w:rPr>
                <w:sz w:val="17"/>
              </w:rPr>
              <w:t>Raw</w:t>
            </w:r>
          </w:p>
        </w:tc>
        <w:tc>
          <w:tcPr>
            <w:tcW w:type="dxa" w:w="1337"/>
            <w:shd w:fill="F4F6F7"/>
            <w:tcMar>
              <w:top w:w="80" w:type="dxa"/>
              <w:bottom w:w="80" w:type="dxa"/>
              <w:left w:w="100" w:type="dxa"/>
              <w:right w:w="100" w:type="dxa"/>
            </w:tcMar>
          </w:tcPr>
          <w:p>
            <w:r>
              <w:rPr>
                <w:b/>
                <w:sz w:val="17"/>
              </w:rPr>
              <w:t>SVM (RBF)</w:t>
            </w:r>
          </w:p>
        </w:tc>
        <w:tc>
          <w:tcPr>
            <w:tcW w:type="dxa" w:w="1337"/>
            <w:shd w:fill="F4F6F7"/>
            <w:tcMar>
              <w:top w:w="80" w:type="dxa"/>
              <w:bottom w:w="80" w:type="dxa"/>
              <w:left w:w="100" w:type="dxa"/>
              <w:right w:w="100" w:type="dxa"/>
            </w:tcMar>
          </w:tcPr>
          <w:p>
            <w:r>
              <w:rPr>
                <w:b/>
                <w:sz w:val="17"/>
              </w:rPr>
              <w:t>68.30</w:t>
            </w:r>
          </w:p>
        </w:tc>
        <w:tc>
          <w:tcPr>
            <w:tcW w:type="dxa" w:w="1337"/>
            <w:shd w:fill="F4F6F7"/>
            <w:tcMar>
              <w:top w:w="80" w:type="dxa"/>
              <w:bottom w:w="80" w:type="dxa"/>
              <w:left w:w="100" w:type="dxa"/>
              <w:right w:w="100" w:type="dxa"/>
            </w:tcMar>
          </w:tcPr>
          <w:p>
            <w:r>
              <w:rPr>
                <w:sz w:val="17"/>
              </w:rPr>
              <w:t>65.21</w:t>
            </w:r>
          </w:p>
        </w:tc>
        <w:tc>
          <w:tcPr>
            <w:tcW w:type="dxa" w:w="1337"/>
            <w:shd w:fill="F4F6F7"/>
            <w:tcMar>
              <w:top w:w="80" w:type="dxa"/>
              <w:bottom w:w="80" w:type="dxa"/>
              <w:left w:w="100" w:type="dxa"/>
              <w:right w:w="100" w:type="dxa"/>
            </w:tcMar>
          </w:tcPr>
          <w:p>
            <w:r>
              <w:rPr>
                <w:sz w:val="17"/>
              </w:rPr>
              <w:t>58.16</w:t>
            </w:r>
          </w:p>
        </w:tc>
        <w:tc>
          <w:tcPr>
            <w:tcW w:type="dxa" w:w="1337"/>
            <w:shd w:fill="F4F6F7"/>
            <w:tcMar>
              <w:top w:w="80" w:type="dxa"/>
              <w:bottom w:w="80" w:type="dxa"/>
              <w:left w:w="100" w:type="dxa"/>
              <w:right w:w="100" w:type="dxa"/>
            </w:tcMar>
          </w:tcPr>
          <w:p>
            <w:r>
              <w:rPr>
                <w:sz w:val="17"/>
              </w:rPr>
              <w:t>72.19</w:t>
            </w:r>
          </w:p>
        </w:tc>
      </w:tr>
      <w:tr>
        <w:tc>
          <w:tcPr>
            <w:tcW w:type="dxa" w:w="1337"/>
            <w:shd w:fill="FFFFFF"/>
            <w:tcMar>
              <w:top w:w="80" w:type="dxa"/>
              <w:bottom w:w="80" w:type="dxa"/>
              <w:left w:w="100" w:type="dxa"/>
              <w:right w:w="100" w:type="dxa"/>
            </w:tcMar>
          </w:tcPr>
          <w:p>
            <w:r>
              <w:rPr>
                <w:sz w:val="17"/>
              </w:rPr>
              <w:t>Dataset 1 (19-ch)</w:t>
            </w:r>
          </w:p>
        </w:tc>
        <w:tc>
          <w:tcPr>
            <w:tcW w:type="dxa" w:w="1337"/>
            <w:shd w:fill="FFFFFF"/>
            <w:tcMar>
              <w:top w:w="80" w:type="dxa"/>
              <w:bottom w:w="80" w:type="dxa"/>
              <w:left w:w="100" w:type="dxa"/>
              <w:right w:w="100" w:type="dxa"/>
            </w:tcMar>
          </w:tcPr>
          <w:p>
            <w:r>
              <w:rPr>
                <w:sz w:val="17"/>
              </w:rPr>
              <w:t>Raw</w:t>
            </w:r>
          </w:p>
        </w:tc>
        <w:tc>
          <w:tcPr>
            <w:tcW w:type="dxa" w:w="1337"/>
            <w:shd w:fill="FFFFFF"/>
            <w:tcMar>
              <w:top w:w="80" w:type="dxa"/>
              <w:bottom w:w="80" w:type="dxa"/>
              <w:left w:w="100" w:type="dxa"/>
              <w:right w:w="100" w:type="dxa"/>
            </w:tcMar>
          </w:tcPr>
          <w:p>
            <w:r>
              <w:rPr>
                <w:b/>
                <w:sz w:val="17"/>
              </w:rPr>
              <w:t>Deep MLP</w:t>
            </w:r>
          </w:p>
        </w:tc>
        <w:tc>
          <w:tcPr>
            <w:tcW w:type="dxa" w:w="1337"/>
            <w:shd w:fill="FFFFFF"/>
            <w:tcMar>
              <w:top w:w="80" w:type="dxa"/>
              <w:bottom w:w="80" w:type="dxa"/>
              <w:left w:w="100" w:type="dxa"/>
              <w:right w:w="100" w:type="dxa"/>
            </w:tcMar>
          </w:tcPr>
          <w:p>
            <w:r>
              <w:rPr>
                <w:b/>
                <w:sz w:val="17"/>
              </w:rPr>
              <w:t>67.40</w:t>
            </w:r>
          </w:p>
        </w:tc>
        <w:tc>
          <w:tcPr>
            <w:tcW w:type="dxa" w:w="1337"/>
            <w:shd w:fill="FFFFFF"/>
            <w:tcMar>
              <w:top w:w="80" w:type="dxa"/>
              <w:bottom w:w="80" w:type="dxa"/>
              <w:left w:w="100" w:type="dxa"/>
              <w:right w:w="100" w:type="dxa"/>
            </w:tcMar>
          </w:tcPr>
          <w:p>
            <w:r>
              <w:rPr>
                <w:sz w:val="17"/>
              </w:rPr>
              <w:t>63.39</w:t>
            </w:r>
          </w:p>
        </w:tc>
        <w:tc>
          <w:tcPr>
            <w:tcW w:type="dxa" w:w="1337"/>
            <w:shd w:fill="FFFFFF"/>
            <w:tcMar>
              <w:top w:w="80" w:type="dxa"/>
              <w:bottom w:w="80" w:type="dxa"/>
              <w:left w:w="100" w:type="dxa"/>
              <w:right w:w="100" w:type="dxa"/>
            </w:tcMar>
          </w:tcPr>
          <w:p>
            <w:r>
              <w:rPr>
                <w:sz w:val="17"/>
              </w:rPr>
              <w:t>59.31</w:t>
            </w:r>
          </w:p>
        </w:tc>
        <w:tc>
          <w:tcPr>
            <w:tcW w:type="dxa" w:w="1337"/>
            <w:shd w:fill="FFFFFF"/>
            <w:tcMar>
              <w:top w:w="80" w:type="dxa"/>
              <w:bottom w:w="80" w:type="dxa"/>
              <w:left w:w="100" w:type="dxa"/>
              <w:right w:w="100" w:type="dxa"/>
            </w:tcMar>
          </w:tcPr>
          <w:p>
            <w:r>
              <w:rPr>
                <w:sz w:val="17"/>
              </w:rPr>
              <w:t>71.41</w:t>
            </w:r>
          </w:p>
        </w:tc>
      </w:tr>
      <w:tr>
        <w:tc>
          <w:tcPr>
            <w:tcW w:type="dxa" w:w="1337"/>
            <w:shd w:fill="F4F6F7"/>
            <w:tcMar>
              <w:top w:w="80" w:type="dxa"/>
              <w:bottom w:w="80" w:type="dxa"/>
              <w:left w:w="100" w:type="dxa"/>
              <w:right w:w="100" w:type="dxa"/>
            </w:tcMar>
          </w:tcPr>
          <w:p>
            <w:r>
              <w:rPr>
                <w:sz w:val="17"/>
              </w:rPr>
              <w:t>Dataset 1 (19-ch)</w:t>
            </w:r>
          </w:p>
        </w:tc>
        <w:tc>
          <w:tcPr>
            <w:tcW w:type="dxa" w:w="1337"/>
            <w:shd w:fill="F4F6F7"/>
            <w:tcMar>
              <w:top w:w="80" w:type="dxa"/>
              <w:bottom w:w="80" w:type="dxa"/>
              <w:left w:w="100" w:type="dxa"/>
              <w:right w:w="100" w:type="dxa"/>
            </w:tcMar>
          </w:tcPr>
          <w:p>
            <w:r>
              <w:rPr>
                <w:sz w:val="17"/>
              </w:rPr>
              <w:t>ICA-Cleaned</w:t>
            </w:r>
          </w:p>
        </w:tc>
        <w:tc>
          <w:tcPr>
            <w:tcW w:type="dxa" w:w="1337"/>
            <w:shd w:fill="F4F6F7"/>
            <w:tcMar>
              <w:top w:w="80" w:type="dxa"/>
              <w:bottom w:w="80" w:type="dxa"/>
              <w:left w:w="100" w:type="dxa"/>
              <w:right w:w="100" w:type="dxa"/>
            </w:tcMar>
          </w:tcPr>
          <w:p>
            <w:r>
              <w:rPr>
                <w:b/>
                <w:sz w:val="17"/>
              </w:rPr>
              <w:t>Deep MLP</w:t>
            </w:r>
          </w:p>
        </w:tc>
        <w:tc>
          <w:tcPr>
            <w:tcW w:type="dxa" w:w="1337"/>
            <w:shd w:fill="F4F6F7"/>
            <w:tcMar>
              <w:top w:w="80" w:type="dxa"/>
              <w:bottom w:w="80" w:type="dxa"/>
              <w:left w:w="100" w:type="dxa"/>
              <w:right w:w="100" w:type="dxa"/>
            </w:tcMar>
          </w:tcPr>
          <w:p>
            <w:r>
              <w:rPr>
                <w:b/>
                <w:sz w:val="17"/>
              </w:rPr>
              <w:t>68.00</w:t>
            </w:r>
          </w:p>
        </w:tc>
        <w:tc>
          <w:tcPr>
            <w:tcW w:type="dxa" w:w="1337"/>
            <w:shd w:fill="F4F6F7"/>
            <w:tcMar>
              <w:top w:w="80" w:type="dxa"/>
              <w:bottom w:w="80" w:type="dxa"/>
              <w:left w:w="100" w:type="dxa"/>
              <w:right w:w="100" w:type="dxa"/>
            </w:tcMar>
          </w:tcPr>
          <w:p>
            <w:r>
              <w:rPr>
                <w:sz w:val="17"/>
              </w:rPr>
              <w:t>65.67</w:t>
            </w:r>
          </w:p>
        </w:tc>
        <w:tc>
          <w:tcPr>
            <w:tcW w:type="dxa" w:w="1337"/>
            <w:shd w:fill="F4F6F7"/>
            <w:tcMar>
              <w:top w:w="80" w:type="dxa"/>
              <w:bottom w:w="80" w:type="dxa"/>
              <w:left w:w="100" w:type="dxa"/>
              <w:right w:w="100" w:type="dxa"/>
            </w:tcMar>
          </w:tcPr>
          <w:p>
            <w:r>
              <w:rPr>
                <w:sz w:val="17"/>
              </w:rPr>
              <w:t>55.40</w:t>
            </w:r>
          </w:p>
        </w:tc>
        <w:tc>
          <w:tcPr>
            <w:tcW w:type="dxa" w:w="1337"/>
            <w:shd w:fill="F4F6F7"/>
            <w:tcMar>
              <w:top w:w="80" w:type="dxa"/>
              <w:bottom w:w="80" w:type="dxa"/>
              <w:left w:w="100" w:type="dxa"/>
              <w:right w:w="100" w:type="dxa"/>
            </w:tcMar>
          </w:tcPr>
          <w:p>
            <w:r>
              <w:rPr>
                <w:sz w:val="17"/>
              </w:rPr>
              <w:t>71.69</w:t>
            </w:r>
          </w:p>
        </w:tc>
      </w:tr>
      <w:tr>
        <w:tc>
          <w:tcPr>
            <w:tcW w:type="dxa" w:w="1337"/>
            <w:shd w:fill="FFFFFF"/>
            <w:tcMar>
              <w:top w:w="80" w:type="dxa"/>
              <w:bottom w:w="80" w:type="dxa"/>
              <w:left w:w="100" w:type="dxa"/>
              <w:right w:w="100" w:type="dxa"/>
            </w:tcMar>
          </w:tcPr>
          <w:p>
            <w:r>
              <w:rPr>
                <w:sz w:val="17"/>
              </w:rPr>
              <w:t>Dataset 2 (64-ch)</w:t>
            </w:r>
          </w:p>
        </w:tc>
        <w:tc>
          <w:tcPr>
            <w:tcW w:type="dxa" w:w="1337"/>
            <w:shd w:fill="FFFFFF"/>
            <w:tcMar>
              <w:top w:w="80" w:type="dxa"/>
              <w:bottom w:w="80" w:type="dxa"/>
              <w:left w:w="100" w:type="dxa"/>
              <w:right w:w="100" w:type="dxa"/>
            </w:tcMar>
          </w:tcPr>
          <w:p>
            <w:r>
              <w:rPr>
                <w:sz w:val="17"/>
              </w:rPr>
              <w:t>Raw</w:t>
            </w:r>
          </w:p>
        </w:tc>
        <w:tc>
          <w:tcPr>
            <w:tcW w:type="dxa" w:w="1337"/>
            <w:shd w:fill="FFFFFF"/>
            <w:tcMar>
              <w:top w:w="80" w:type="dxa"/>
              <w:bottom w:w="80" w:type="dxa"/>
              <w:left w:w="100" w:type="dxa"/>
              <w:right w:w="100" w:type="dxa"/>
            </w:tcMar>
          </w:tcPr>
          <w:p>
            <w:r>
              <w:rPr>
                <w:b/>
                <w:sz w:val="17"/>
              </w:rPr>
              <w:t>Logistic Regression</w:t>
            </w:r>
          </w:p>
        </w:tc>
        <w:tc>
          <w:tcPr>
            <w:tcW w:type="dxa" w:w="1337"/>
            <w:shd w:fill="FFFFFF"/>
            <w:tcMar>
              <w:top w:w="80" w:type="dxa"/>
              <w:bottom w:w="80" w:type="dxa"/>
              <w:left w:w="100" w:type="dxa"/>
              <w:right w:w="100" w:type="dxa"/>
            </w:tcMar>
          </w:tcPr>
          <w:p>
            <w:r>
              <w:rPr>
                <w:b/>
                <w:sz w:val="17"/>
              </w:rPr>
              <w:t>88.06</w:t>
            </w:r>
          </w:p>
        </w:tc>
        <w:tc>
          <w:tcPr>
            <w:tcW w:type="dxa" w:w="1337"/>
            <w:shd w:fill="FFFFFF"/>
            <w:tcMar>
              <w:top w:w="80" w:type="dxa"/>
              <w:bottom w:w="80" w:type="dxa"/>
              <w:left w:w="100" w:type="dxa"/>
              <w:right w:w="100" w:type="dxa"/>
            </w:tcMar>
          </w:tcPr>
          <w:p>
            <w:r>
              <w:rPr>
                <w:sz w:val="17"/>
              </w:rPr>
              <w:t>87.64</w:t>
            </w:r>
          </w:p>
        </w:tc>
        <w:tc>
          <w:tcPr>
            <w:tcW w:type="dxa" w:w="1337"/>
            <w:shd w:fill="FFFFFF"/>
            <w:tcMar>
              <w:top w:w="80" w:type="dxa"/>
              <w:bottom w:w="80" w:type="dxa"/>
              <w:left w:w="100" w:type="dxa"/>
              <w:right w:w="100" w:type="dxa"/>
            </w:tcMar>
          </w:tcPr>
          <w:p>
            <w:r>
              <w:rPr>
                <w:sz w:val="17"/>
              </w:rPr>
              <w:t>85.59</w:t>
            </w:r>
          </w:p>
        </w:tc>
        <w:tc>
          <w:tcPr>
            <w:tcW w:type="dxa" w:w="1337"/>
            <w:shd w:fill="FFFFFF"/>
            <w:tcMar>
              <w:top w:w="80" w:type="dxa"/>
              <w:bottom w:w="80" w:type="dxa"/>
              <w:left w:w="100" w:type="dxa"/>
              <w:right w:w="100" w:type="dxa"/>
            </w:tcMar>
          </w:tcPr>
          <w:p>
            <w:r>
              <w:rPr>
                <w:sz w:val="17"/>
              </w:rPr>
              <w:t>94.28</w:t>
            </w:r>
          </w:p>
        </w:tc>
      </w:tr>
      <w:tr>
        <w:tc>
          <w:tcPr>
            <w:tcW w:type="dxa" w:w="1337"/>
            <w:shd w:fill="F4F6F7"/>
            <w:tcMar>
              <w:top w:w="80" w:type="dxa"/>
              <w:bottom w:w="80" w:type="dxa"/>
              <w:left w:w="100" w:type="dxa"/>
              <w:right w:w="100" w:type="dxa"/>
            </w:tcMar>
          </w:tcPr>
          <w:p>
            <w:r>
              <w:rPr>
                <w:sz w:val="17"/>
              </w:rPr>
              <w:t>Dataset 2 (64-ch)</w:t>
            </w:r>
          </w:p>
        </w:tc>
        <w:tc>
          <w:tcPr>
            <w:tcW w:type="dxa" w:w="1337"/>
            <w:shd w:fill="F4F6F7"/>
            <w:tcMar>
              <w:top w:w="80" w:type="dxa"/>
              <w:bottom w:w="80" w:type="dxa"/>
              <w:left w:w="100" w:type="dxa"/>
              <w:right w:w="100" w:type="dxa"/>
            </w:tcMar>
          </w:tcPr>
          <w:p>
            <w:r>
              <w:rPr>
                <w:sz w:val="17"/>
              </w:rPr>
              <w:t>Raw</w:t>
            </w:r>
          </w:p>
        </w:tc>
        <w:tc>
          <w:tcPr>
            <w:tcW w:type="dxa" w:w="1337"/>
            <w:shd w:fill="F4F6F7"/>
            <w:tcMar>
              <w:top w:w="80" w:type="dxa"/>
              <w:bottom w:w="80" w:type="dxa"/>
              <w:left w:w="100" w:type="dxa"/>
              <w:right w:w="100" w:type="dxa"/>
            </w:tcMar>
          </w:tcPr>
          <w:p>
            <w:r>
              <w:rPr>
                <w:b/>
                <w:sz w:val="17"/>
              </w:rPr>
              <w:t>Deep MLP</w:t>
            </w:r>
          </w:p>
        </w:tc>
        <w:tc>
          <w:tcPr>
            <w:tcW w:type="dxa" w:w="1337"/>
            <w:shd w:fill="F4F6F7"/>
            <w:tcMar>
              <w:top w:w="80" w:type="dxa"/>
              <w:bottom w:w="80" w:type="dxa"/>
              <w:left w:w="100" w:type="dxa"/>
              <w:right w:w="100" w:type="dxa"/>
            </w:tcMar>
          </w:tcPr>
          <w:p>
            <w:r>
              <w:rPr>
                <w:b/>
                <w:sz w:val="17"/>
              </w:rPr>
              <w:t>85.96</w:t>
            </w:r>
          </w:p>
        </w:tc>
        <w:tc>
          <w:tcPr>
            <w:tcW w:type="dxa" w:w="1337"/>
            <w:shd w:fill="F4F6F7"/>
            <w:tcMar>
              <w:top w:w="80" w:type="dxa"/>
              <w:bottom w:w="80" w:type="dxa"/>
              <w:left w:w="100" w:type="dxa"/>
              <w:right w:w="100" w:type="dxa"/>
            </w:tcMar>
          </w:tcPr>
          <w:p>
            <w:r>
              <w:rPr>
                <w:sz w:val="17"/>
              </w:rPr>
              <w:t>85.10</w:t>
            </w:r>
          </w:p>
        </w:tc>
        <w:tc>
          <w:tcPr>
            <w:tcW w:type="dxa" w:w="1337"/>
            <w:shd w:fill="F4F6F7"/>
            <w:tcMar>
              <w:top w:w="80" w:type="dxa"/>
              <w:bottom w:w="80" w:type="dxa"/>
              <w:left w:w="100" w:type="dxa"/>
              <w:right w:w="100" w:type="dxa"/>
            </w:tcMar>
          </w:tcPr>
          <w:p>
            <w:r>
              <w:rPr>
                <w:sz w:val="17"/>
              </w:rPr>
              <w:t>83.47</w:t>
            </w:r>
          </w:p>
        </w:tc>
        <w:tc>
          <w:tcPr>
            <w:tcW w:type="dxa" w:w="1337"/>
            <w:shd w:fill="F4F6F7"/>
            <w:tcMar>
              <w:top w:w="80" w:type="dxa"/>
              <w:bottom w:w="80" w:type="dxa"/>
              <w:left w:w="100" w:type="dxa"/>
              <w:right w:w="100" w:type="dxa"/>
            </w:tcMar>
          </w:tcPr>
          <w:p>
            <w:r>
              <w:rPr>
                <w:sz w:val="17"/>
              </w:rPr>
              <w:t>93.69</w:t>
            </w:r>
          </w:p>
        </w:tc>
      </w:tr>
      <w:tr>
        <w:tc>
          <w:tcPr>
            <w:tcW w:type="dxa" w:w="1337"/>
            <w:shd w:fill="FFFFFF"/>
            <w:tcMar>
              <w:top w:w="80" w:type="dxa"/>
              <w:bottom w:w="80" w:type="dxa"/>
              <w:left w:w="100" w:type="dxa"/>
              <w:right w:w="100" w:type="dxa"/>
            </w:tcMar>
          </w:tcPr>
          <w:p>
            <w:r>
              <w:rPr>
                <w:sz w:val="17"/>
              </w:rPr>
              <w:t>Dataset 2 (64-ch)</w:t>
            </w:r>
          </w:p>
        </w:tc>
        <w:tc>
          <w:tcPr>
            <w:tcW w:type="dxa" w:w="1337"/>
            <w:shd w:fill="FFFFFF"/>
            <w:tcMar>
              <w:top w:w="80" w:type="dxa"/>
              <w:bottom w:w="80" w:type="dxa"/>
              <w:left w:w="100" w:type="dxa"/>
              <w:right w:w="100" w:type="dxa"/>
            </w:tcMar>
          </w:tcPr>
          <w:p>
            <w:r>
              <w:rPr>
                <w:sz w:val="17"/>
              </w:rPr>
              <w:t>ICA-Cleaned</w:t>
            </w:r>
          </w:p>
        </w:tc>
        <w:tc>
          <w:tcPr>
            <w:tcW w:type="dxa" w:w="1337"/>
            <w:shd w:fill="FFFFFF"/>
            <w:tcMar>
              <w:top w:w="80" w:type="dxa"/>
              <w:bottom w:w="80" w:type="dxa"/>
              <w:left w:w="100" w:type="dxa"/>
              <w:right w:w="100" w:type="dxa"/>
            </w:tcMar>
          </w:tcPr>
          <w:p>
            <w:r>
              <w:rPr>
                <w:b/>
                <w:sz w:val="17"/>
              </w:rPr>
              <w:t>Deep MLP</w:t>
            </w:r>
          </w:p>
        </w:tc>
        <w:tc>
          <w:tcPr>
            <w:tcW w:type="dxa" w:w="1337"/>
            <w:shd w:fill="FFFFFF"/>
            <w:tcMar>
              <w:top w:w="80" w:type="dxa"/>
              <w:bottom w:w="80" w:type="dxa"/>
              <w:left w:w="100" w:type="dxa"/>
              <w:right w:w="100" w:type="dxa"/>
            </w:tcMar>
          </w:tcPr>
          <w:p>
            <w:r>
              <w:rPr>
                <w:b/>
                <w:sz w:val="17"/>
              </w:rPr>
              <w:t>86.06</w:t>
            </w:r>
          </w:p>
        </w:tc>
        <w:tc>
          <w:tcPr>
            <w:tcW w:type="dxa" w:w="1337"/>
            <w:shd w:fill="FFFFFF"/>
            <w:tcMar>
              <w:top w:w="80" w:type="dxa"/>
              <w:bottom w:w="80" w:type="dxa"/>
              <w:left w:w="100" w:type="dxa"/>
              <w:right w:w="100" w:type="dxa"/>
            </w:tcMar>
          </w:tcPr>
          <w:p>
            <w:r>
              <w:rPr>
                <w:sz w:val="17"/>
              </w:rPr>
              <w:t>84.39</w:t>
            </w:r>
          </w:p>
        </w:tc>
        <w:tc>
          <w:tcPr>
            <w:tcW w:type="dxa" w:w="1337"/>
            <w:shd w:fill="FFFFFF"/>
            <w:tcMar>
              <w:top w:w="80" w:type="dxa"/>
              <w:bottom w:w="80" w:type="dxa"/>
              <w:left w:w="100" w:type="dxa"/>
              <w:right w:w="100" w:type="dxa"/>
            </w:tcMar>
          </w:tcPr>
          <w:p>
            <w:r>
              <w:rPr>
                <w:sz w:val="17"/>
              </w:rPr>
              <w:t>84.75</w:t>
            </w:r>
          </w:p>
        </w:tc>
        <w:tc>
          <w:tcPr>
            <w:tcW w:type="dxa" w:w="1337"/>
            <w:shd w:fill="FFFFFF"/>
            <w:tcMar>
              <w:top w:w="80" w:type="dxa"/>
              <w:bottom w:w="80" w:type="dxa"/>
              <w:left w:w="100" w:type="dxa"/>
              <w:right w:w="100" w:type="dxa"/>
            </w:tcMar>
          </w:tcPr>
          <w:p>
            <w:r>
              <w:rPr>
                <w:sz w:val="17"/>
              </w:rPr>
              <w:t>93.10</w:t>
            </w:r>
          </w:p>
        </w:tc>
      </w:tr>
    </w:tbl>
    <w:p>
      <w:pPr>
        <w:spacing w:before="280" w:after="80"/>
      </w:pPr>
      <w:r>
        <w:rPr>
          <w:rFonts w:ascii="Calibri" w:hAnsi="Calibri"/>
          <w:b/>
          <w:color w:val="2C3E50"/>
          <w:sz w:val="26"/>
        </w:rPr>
        <w:t>3.2 Feature Families &amp; Information Density</w:t>
      </w:r>
    </w:p>
    <w:p>
      <w:pPr>
        <w:pStyle w:val="ListBullet"/>
        <w:spacing w:after="60"/>
      </w:pPr>
      <w:r>
        <w:rPr>
          <w:b/>
        </w:rPr>
        <w:t xml:space="preserve">Hjorth Parameters Carry the Highest Information Density: </w:t>
      </w:r>
      <w:r>
        <w:t>Activity, Mobility, and Complexity proved to be the most compact, informative feature family. In Dataset 1, they achieved the highest mean importance per feature (0.005486, representing 20.85% total importance across 38 features). In Dataset 2, they accounted for 20.05% total importance across 128 features (0.001567 per feature), delivering approximately three times the information density of conventional spectral power.</w:t>
      </w:r>
    </w:p>
    <w:p>
      <w:pPr>
        <w:pStyle w:val="ListBullet"/>
        <w:spacing w:after="60"/>
      </w:pPr>
      <w:r>
        <w:rPr>
          <w:b/>
        </w:rPr>
        <w:t xml:space="preserve">Universal Band-Power Dominance: </w:t>
      </w:r>
      <w:r>
        <w:t>Welch spectral band power forms the bedrock of classification across both studies, driving 49.93% of total importance in Dataset 1 and 33.66% in Dataset 2 (with oscillatory envelope dynamics adding an extra 29.47%).</w:t>
      </w:r>
    </w:p>
    <w:p>
      <w:pPr>
        <w:pStyle w:val="ListBullet"/>
        <w:spacing w:after="120"/>
      </w:pPr>
      <w:r>
        <w:rPr>
          <w:b/>
        </w:rPr>
        <w:t xml:space="preserve">Functional Connectivity (PLV) Redundancy: </w:t>
      </w:r>
      <w:r>
        <w:t>Phase-based functional connectivity (Phase Locking Value) contributed minimally in Dataset 1 (6.76%) and zero in Dataset 2 (0.00%), despite constituting 361 features in D1 and 4,096 features in D2 (&gt;76% of the feature space). This demonstrates that mind wandering is indexed by localized spectral and amplitude changes rather than remote inter-electrode phase synchrony.</w:t>
      </w:r>
    </w:p>
    <w:p>
      <w:pPr>
        <w:spacing w:before="200" w:after="80"/>
      </w:pPr>
      <w:r>
        <w:rPr>
          <w:rFonts w:ascii="Calibri" w:hAnsi="Calibri"/>
          <w:b/>
          <w:color w:val="2C3E50"/>
          <w:sz w:val="26"/>
        </w:rPr>
        <w:t>3.3 Multi-Band Physiological Biomarkers</w:t>
      </w:r>
    </w:p>
    <w:p>
      <w:pPr>
        <w:pStyle w:val="ListBullet"/>
        <w:spacing w:after="80"/>
      </w:pPr>
      <w:r>
        <w:rPr>
          <w:b/>
        </w:rPr>
        <w:t xml:space="preserve">Delta Band (1-4 Hz) Vigilance Convergence &amp; Drift: </w:t>
      </w:r>
      <w:r>
        <w:t>Mean Delta power exhibited near-identical baseline elevation during mind wandering across both datasets (+0.0823 in D1 vs +0.0833 in D2 log10(μV²/Hz)). Temporal trajectory modeling revealed that Delta power continuously climbed over time during mind wandering (+0.0041 in D1, +0.0182 in D2, p &lt; 0.001), capturing cumulative vigilance decline and drowsiness.</w:t>
      </w:r>
    </w:p>
    <w:p>
      <w:pPr>
        <w:pStyle w:val="ListBullet"/>
        <w:spacing w:after="80"/>
      </w:pPr>
      <w:r>
        <w:rPr>
          <w:b/>
        </w:rPr>
        <w:t xml:space="preserve">Theta Band (4-8 Hz) Internal Immersion: </w:t>
      </w:r>
      <w:r>
        <w:t>Theta power was elevated during mind wandering across both datasets (+0.0774 in D1; +0.0346, p = 8.36e-11 in D2). Furthermore, Theta significantly increased over time during mind wandering in Dataset 1 (+0.0080, p = 0.0195), marking progressive cognitive immersion into internal memory retrieval.</w:t>
      </w:r>
    </w:p>
    <w:p>
      <w:pPr>
        <w:pStyle w:val="ListBullet"/>
        <w:spacing w:after="80"/>
      </w:pPr>
      <w:r>
        <w:rPr>
          <w:b/>
        </w:rPr>
        <w:t xml:space="preserve">Gamma Band (30-45 Hz) Sensory Decoupling: </w:t>
      </w:r>
      <w:r>
        <w:t>Gamma power was consistently suppressed during mind wandering across both setups (-0.0183 in D1; -0.0329, p = 0.0972 in D2), reflecting sensory decoupling whereby the cortex inhibits processing of external visual/auditory stimuli.</w:t>
      </w:r>
    </w:p>
    <w:p>
      <w:pPr>
        <w:pStyle w:val="ListBullet"/>
        <w:spacing w:after="80"/>
      </w:pPr>
      <w:r>
        <w:rPr>
          <w:b/>
        </w:rPr>
        <w:t xml:space="preserve">Beta Band (12-30 Hz) Steep Within-State Divergence: </w:t>
      </w:r>
      <w:r>
        <w:t>While static mean Beta differences were non-significant, temporal trajectories diverged dramatically in Dataset 2: Beta dropped sharply during Focus (slope = -0.0227, p = 2.87e-88) while rising during mind wandering (slope = +0.0088, p = 0.0491), establishing Beta as an active marker of task engagement.</w:t>
      </w:r>
    </w:p>
    <w:p>
      <w:pPr>
        <w:spacing w:before="200" w:after="80"/>
      </w:pPr>
      <w:r>
        <w:rPr>
          <w:rFonts w:ascii="Calibri" w:hAnsi="Calibri"/>
          <w:b/>
          <w:color w:val="2C3E50"/>
          <w:sz w:val="26"/>
        </w:rPr>
        <w:t>3.4 Spatial Dynamics &amp; Topographical Ablation</w:t>
      </w:r>
    </w:p>
    <w:p>
      <w:pPr>
        <w:pStyle w:val="ListBullet"/>
        <w:spacing w:after="60"/>
      </w:pPr>
      <w:r>
        <w:rPr>
          <w:b/>
        </w:rPr>
        <w:t xml:space="preserve">Posterior Electrodes Dominate Standalone Spatial Decoding: </w:t>
      </w:r>
      <w:r>
        <w:t>In Dataset 2, isolating Posterior electrodes alone achieved 73.83% accuracy (F1: 70.73%, ROC-AUC: 78.38%), markedly outperforming Anterior (62.85%) and Central/Temporal (65.71%) subsets, and even exceeding the full 64-channel baseline (68.39%). Posterior visual/sensory gating is therefore the primary spatial hub of mind wandering.</w:t>
      </w:r>
    </w:p>
    <w:p>
      <w:pPr>
        <w:pStyle w:val="ListBullet"/>
        <w:spacing w:after="120"/>
      </w:pPr>
      <w:r>
        <w:rPr>
          <w:b/>
        </w:rPr>
        <w:t xml:space="preserve">Central &amp; Temporal Task Monitoring: </w:t>
      </w:r>
      <w:r>
        <w:t>In Dataset 1, Central/Temporal electrodes provided the strongest isolated regional accuracy (62.70% vs 61.50% baseline). Under linear models in Dataset 2, Central/Temporal electrodes yielded 74.0% standalone accuracy, tracking sensorimotor task engagement.</w:t>
      </w:r>
    </w:p>
    <w:p>
      <w:pPr>
        <w:spacing w:before="320" w:after="120"/>
      </w:pPr>
      <w:r>
        <w:rPr>
          <w:rFonts w:ascii="Calibri" w:hAnsi="Calibri"/>
          <w:b/>
          <w:color w:val="1B365D"/>
          <w:sz w:val="28"/>
        </w:rPr>
        <w:t>4. Executive Conclusion</w:t>
      </w:r>
    </w:p>
    <w:tbl>
      <w:tblPr>
        <w:tblW w:type="auto" w:w="0"/>
        <w:jc w:val="center"/>
        <w:tblLayout w:type="fixed"/>
        <w:tblLook w:firstColumn="1" w:firstRow="1" w:lastColumn="0" w:lastRow="0" w:noHBand="0" w:noVBand="1" w:val="04A0"/>
      </w:tblPr>
      <w:tblGrid>
        <w:gridCol w:w="9360"/>
      </w:tblGrid>
      <w:tr>
        <w:tc>
          <w:tcPr>
            <w:tcW w:type="dxa" w:w="9360"/>
            <w:shd w:fill="EBF5FB"/>
            <w:tcMar>
              <w:top w:w="150" w:type="dxa"/>
              <w:bottom w:w="150" w:type="dxa"/>
              <w:left w:w="200" w:type="dxa"/>
              <w:right w:w="200" w:type="dxa"/>
            </w:tcMar>
          </w:tcPr>
          <w:p>
            <w:pPr>
              <w:spacing w:line="276" w:lineRule="auto"/>
            </w:pPr>
            <w:r>
              <w:rPr>
                <w:i/>
                <w:color w:val="1B365D"/>
                <w:sz w:val="20"/>
              </w:rPr>
              <w:t>Core Finding: Effective EEG-based mind-wandering decoding does not require deep or computationally intensive neural architectures. When supported by an integrated multi-domain feature framework—capturing high-density Hjorth parameters, localized Alpha/Theta power, and posterior sensory gating over 1.5-second quasi-stationary windows—simple linear models achieve up to 88.06% accuracy, performing on par with deep neural networks while remaining highly interpretable and robust to artifact cleaning.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