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E9D4" w14:textId="77777777" w:rsidR="00F86FEF" w:rsidRDefault="00000000">
      <w:pPr>
        <w:spacing w:before="240" w:after="240"/>
        <w:jc w:val="center"/>
      </w:pPr>
      <w:r>
        <w:rPr>
          <w:rFonts w:ascii="Arial" w:hAnsi="Arial"/>
          <w:b/>
          <w:color w:val="000000"/>
          <w:sz w:val="30"/>
        </w:rPr>
        <w:t>EXECUTIVE SUMMARY: EEG MIND-WANDERING ABLATION ANALYSIS</w:t>
      </w:r>
      <w:r>
        <w:rPr>
          <w:rFonts w:ascii="Arial" w:hAnsi="Arial"/>
          <w:b/>
          <w:color w:val="000000"/>
          <w:sz w:val="30"/>
        </w:rPr>
        <w:br/>
      </w:r>
    </w:p>
    <w:p w14:paraId="13967097" w14:textId="77777777" w:rsidR="00F86FEF" w:rsidRDefault="00000000">
      <w:pPr>
        <w:pStyle w:val="Heading1"/>
        <w:spacing w:before="160" w:after="80"/>
      </w:pPr>
      <w:r>
        <w:rPr>
          <w:rFonts w:ascii="Arial" w:hAnsi="Arial"/>
          <w:color w:val="000000"/>
        </w:rPr>
        <w:t>1. Key Conclusions and Interpretations</w:t>
      </w:r>
    </w:p>
    <w:p w14:paraId="0D6A0D07" w14:textId="77777777" w:rsidR="00F86FEF" w:rsidRDefault="00000000">
      <w:pPr>
        <w:pStyle w:val="Heading2"/>
        <w:spacing w:before="120" w:after="60"/>
      </w:pPr>
      <w:r>
        <w:rPr>
          <w:rFonts w:ascii="Arial" w:hAnsi="Arial"/>
          <w:color w:val="000000"/>
          <w:sz w:val="24"/>
        </w:rPr>
        <w:t>1.1 Preprocessing Impact (Raw vs. ICA-cleaned)</w:t>
      </w:r>
    </w:p>
    <w:p w14:paraId="3882738D" w14:textId="5E66950A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Dataset 1: </w:t>
      </w:r>
      <w:r>
        <w:rPr>
          <w:rFonts w:ascii="Arial" w:hAnsi="Arial"/>
          <w:color w:val="000000"/>
          <w:sz w:val="20"/>
        </w:rPr>
        <w:t>In Dataset 1 (19 channels), ICA cleaning has negligible impact on classification accuracy (SVM Baseline Raw: 0.60</w:t>
      </w:r>
      <w:r w:rsidR="00481D6B">
        <w:rPr>
          <w:rFonts w:ascii="Arial" w:hAnsi="Arial"/>
          <w:color w:val="000000"/>
          <w:sz w:val="20"/>
        </w:rPr>
        <w:t>4</w:t>
      </w:r>
      <w:r>
        <w:rPr>
          <w:rFonts w:ascii="Arial" w:hAnsi="Arial"/>
          <w:color w:val="000000"/>
          <w:sz w:val="20"/>
        </w:rPr>
        <w:t xml:space="preserve"> vs. Cleaned: 0.60</w:t>
      </w:r>
      <w:r w:rsidR="00481D6B">
        <w:rPr>
          <w:rFonts w:ascii="Arial" w:hAnsi="Arial"/>
          <w:color w:val="000000"/>
          <w:sz w:val="20"/>
        </w:rPr>
        <w:t>2</w:t>
      </w:r>
      <w:r>
        <w:rPr>
          <w:rFonts w:ascii="Arial" w:hAnsi="Arial"/>
          <w:color w:val="000000"/>
          <w:sz w:val="20"/>
        </w:rPr>
        <w:t>).</w:t>
      </w:r>
    </w:p>
    <w:p w14:paraId="7F97AFED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Dataset 2: </w:t>
      </w:r>
      <w:r>
        <w:rPr>
          <w:rFonts w:ascii="Arial" w:hAnsi="Arial"/>
          <w:color w:val="000000"/>
          <w:sz w:val="20"/>
        </w:rPr>
        <w:t>In Dataset 2 (64 channels), ICA cleaning significantly degrades classification. Logistic Regression Accuracy drops from 0.63 to 0.59, and SVM Baseline collapses to chance level (0.50).</w:t>
      </w:r>
    </w:p>
    <w:p w14:paraId="794510C7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Interpretation: </w:t>
      </w:r>
      <w:r>
        <w:rPr>
          <w:rFonts w:ascii="Arial" w:hAnsi="Arial"/>
          <w:color w:val="000000"/>
          <w:sz w:val="20"/>
        </w:rPr>
        <w:t>This indicates that raw classifiers rely heavily on non-neural ocular (blink) or muscle artifacts that correlate with states (e.g., blinking less during focus). Cleaning with ICA removes this predictive artifact contamination, reducing classification performance but ensuring a cleaner neural baseline.</w:t>
      </w:r>
    </w:p>
    <w:p w14:paraId="69A1A1E5" w14:textId="77777777" w:rsidR="00F86FEF" w:rsidRDefault="00000000">
      <w:pPr>
        <w:pStyle w:val="Heading2"/>
        <w:spacing w:before="120" w:after="60"/>
      </w:pPr>
      <w:r>
        <w:rPr>
          <w:rFonts w:ascii="Arial" w:hAnsi="Arial"/>
          <w:color w:val="000000"/>
          <w:sz w:val="24"/>
        </w:rPr>
        <w:t>1.2 Feature Family Overload and Noise</w:t>
      </w:r>
    </w:p>
    <w:p w14:paraId="78CCB4EA" w14:textId="5028C774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Dataset 1: </w:t>
      </w:r>
      <w:r>
        <w:rPr>
          <w:rFonts w:ascii="Arial" w:hAnsi="Arial"/>
          <w:color w:val="000000"/>
          <w:sz w:val="20"/>
        </w:rPr>
        <w:t>Dataset 1 exhibits high redundancy</w:t>
      </w:r>
      <w:r w:rsidR="00784267">
        <w:rPr>
          <w:rFonts w:ascii="Arial" w:hAnsi="Arial"/>
          <w:color w:val="000000"/>
          <w:sz w:val="20"/>
        </w:rPr>
        <w:t>,</w:t>
      </w:r>
      <w:r>
        <w:rPr>
          <w:rFonts w:ascii="Arial" w:hAnsi="Arial"/>
          <w:color w:val="000000"/>
          <w:sz w:val="20"/>
        </w:rPr>
        <w:t xml:space="preserve"> omitting any single family does not reduce performance. Isolating Hjorth features (0.61 accuracy) yields the best single-family model.</w:t>
      </w:r>
    </w:p>
    <w:p w14:paraId="60457655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Dataset 2: </w:t>
      </w:r>
      <w:r>
        <w:rPr>
          <w:rFonts w:ascii="Arial" w:hAnsi="Arial"/>
          <w:color w:val="000000"/>
          <w:sz w:val="20"/>
        </w:rPr>
        <w:t>Isolating Spectral features (Only Spectral) dramatically boosts classification. Logistic Regression Raw accuracy climbs from 0.63 (Baseline) to 0.74, and SVM Raw climbs to 0.67.</w:t>
      </w:r>
    </w:p>
    <w:p w14:paraId="63D9887F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Interpretation: </w:t>
      </w:r>
      <w:r>
        <w:rPr>
          <w:rFonts w:ascii="Arial" w:hAnsi="Arial"/>
          <w:color w:val="000000"/>
          <w:sz w:val="20"/>
        </w:rPr>
        <w:t>In denser channel montages, including time-domain, entropy, and complexity feature families introduces significant noise. Restricting traditional models to spectral-domain features solves the curse of dimensionality and overfits.</w:t>
      </w:r>
    </w:p>
    <w:p w14:paraId="2B566660" w14:textId="77777777" w:rsidR="00F86FEF" w:rsidRDefault="00000000">
      <w:pPr>
        <w:pStyle w:val="Heading2"/>
        <w:spacing w:before="120" w:after="60"/>
      </w:pPr>
      <w:r>
        <w:rPr>
          <w:rFonts w:ascii="Arial" w:hAnsi="Arial"/>
          <w:color w:val="000000"/>
          <w:sz w:val="24"/>
        </w:rPr>
        <w:t>1.3 Spatial Scalp Regions</w:t>
      </w:r>
    </w:p>
    <w:p w14:paraId="2CA23C7B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Dataset 1: </w:t>
      </w:r>
      <w:r>
        <w:rPr>
          <w:rFonts w:ascii="Arial" w:hAnsi="Arial"/>
          <w:color w:val="000000"/>
          <w:sz w:val="20"/>
        </w:rPr>
        <w:t>Isolating Central &amp; Temporal electrodes (Only Central &amp; Temporal) preserves baseline accuracy (0.61) in Dataset 1, while Frontal or Posterior configurations reduce performance.</w:t>
      </w:r>
    </w:p>
    <w:p w14:paraId="66F6F8B9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Dataset 2: </w:t>
      </w:r>
      <w:r>
        <w:rPr>
          <w:rFonts w:ascii="Arial" w:hAnsi="Arial"/>
          <w:color w:val="000000"/>
          <w:sz w:val="20"/>
        </w:rPr>
        <w:t>Central &amp; Temporal (0.66 accuracy) and Posterior (0.67 accuracy) electrodes show the highest standalone classification power. Frontal electrodes alone are weaker (0.61 accuracy).</w:t>
      </w:r>
    </w:p>
    <w:p w14:paraId="2BB0BA55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Interpretation: </w:t>
      </w:r>
      <w:r>
        <w:rPr>
          <w:rFonts w:ascii="Arial" w:hAnsi="Arial"/>
          <w:color w:val="000000"/>
          <w:sz w:val="20"/>
        </w:rPr>
        <w:t>Central/temporal and posterior sensor regions are the primary spatial carries of neural signals indicating mind-wandering, while frontal electrodes alone are less predictive.</w:t>
      </w:r>
    </w:p>
    <w:p w14:paraId="35E922A6" w14:textId="77777777" w:rsidR="00F86FEF" w:rsidRDefault="00000000">
      <w:pPr>
        <w:pStyle w:val="Heading2"/>
        <w:spacing w:before="120" w:after="60"/>
      </w:pPr>
      <w:r>
        <w:rPr>
          <w:rFonts w:ascii="Arial" w:hAnsi="Arial"/>
          <w:color w:val="000000"/>
          <w:sz w:val="24"/>
        </w:rPr>
        <w:t>1.4 Dominant Frequency Bands</w:t>
      </w:r>
    </w:p>
    <w:p w14:paraId="4BE316FE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Dataset 1: </w:t>
      </w:r>
      <w:r>
        <w:rPr>
          <w:rFonts w:ascii="Arial" w:hAnsi="Arial"/>
          <w:color w:val="000000"/>
          <w:sz w:val="20"/>
        </w:rPr>
        <w:t>Isolating Theta (Only Theta) preserves baseline accuracy (0.60 vs. 0.59 baseline), identifying Theta as the main driver of spectral classification in Dataset 1.</w:t>
      </w:r>
    </w:p>
    <w:p w14:paraId="61F5DC32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Dataset 2: </w:t>
      </w:r>
      <w:r>
        <w:rPr>
          <w:rFonts w:ascii="Arial" w:hAnsi="Arial"/>
          <w:color w:val="000000"/>
          <w:sz w:val="20"/>
        </w:rPr>
        <w:t>Alpha band power is the overwhelming performance driver. Omitting Alpha (Omit Alpha) drops SVM Raw accuracy by 10.3% (0.72 to 0.61), whereas isolating Alpha (Only Alpha) recovers almost the entire baseline performance (0.71).</w:t>
      </w:r>
    </w:p>
    <w:p w14:paraId="300D66C5" w14:textId="77777777" w:rsidR="00F86FEF" w:rsidRDefault="00000000">
      <w:pPr>
        <w:pStyle w:val="ListBullet"/>
        <w:spacing w:after="60"/>
      </w:pPr>
      <w:r>
        <w:rPr>
          <w:rFonts w:ascii="Arial" w:hAnsi="Arial"/>
          <w:b/>
          <w:color w:val="000000"/>
          <w:sz w:val="20"/>
        </w:rPr>
        <w:t xml:space="preserve">Interpretation: </w:t>
      </w:r>
      <w:r>
        <w:rPr>
          <w:rFonts w:ascii="Arial" w:hAnsi="Arial"/>
          <w:color w:val="000000"/>
          <w:sz w:val="20"/>
        </w:rPr>
        <w:t>Elevated Alpha (gating of sensory inputs/cortical idling) and elevated Theta (internal cognitive processing) are the key physiological correlates of mind-wandering, with Alpha holding the most classification weight in Dataset 2.</w:t>
      </w:r>
    </w:p>
    <w:p w14:paraId="0D2C7008" w14:textId="77777777" w:rsidR="00F86FEF" w:rsidRDefault="00000000">
      <w:pPr>
        <w:pStyle w:val="Heading1"/>
        <w:spacing w:before="160" w:after="80"/>
      </w:pPr>
      <w:r>
        <w:rPr>
          <w:rFonts w:ascii="Arial" w:hAnsi="Arial"/>
          <w:color w:val="000000"/>
        </w:rPr>
        <w:t>2. Selected Key Ablation Results Table</w:t>
      </w:r>
    </w:p>
    <w:p w14:paraId="7CD29BEC" w14:textId="77777777" w:rsidR="00F86FEF" w:rsidRDefault="00000000">
      <w:pPr>
        <w:spacing w:after="100"/>
      </w:pPr>
      <w:r>
        <w:rPr>
          <w:rFonts w:ascii="Arial" w:hAnsi="Arial"/>
          <w:color w:val="000000"/>
          <w:sz w:val="20"/>
        </w:rPr>
        <w:t>Values represent classification performance formatted as: Accuracy / F1-Score. This table includes only the critical baselines and the most relevant isolation/omission conditions that highlight the main findings.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843"/>
        <w:gridCol w:w="777"/>
        <w:gridCol w:w="1149"/>
        <w:gridCol w:w="1102"/>
        <w:gridCol w:w="1031"/>
        <w:gridCol w:w="984"/>
        <w:gridCol w:w="1149"/>
        <w:gridCol w:w="1102"/>
        <w:gridCol w:w="1031"/>
        <w:gridCol w:w="984"/>
      </w:tblGrid>
      <w:tr w:rsidR="00F86FEF" w14:paraId="75DDB6FD" w14:textId="77777777">
        <w:trPr>
          <w:jc w:val="center"/>
        </w:trPr>
        <w:tc>
          <w:tcPr>
            <w:tcW w:w="1584" w:type="dxa"/>
          </w:tcPr>
          <w:p w14:paraId="36B4B5B4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Catego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ry</w:t>
            </w:r>
          </w:p>
        </w:tc>
        <w:tc>
          <w:tcPr>
            <w:tcW w:w="1728" w:type="dxa"/>
          </w:tcPr>
          <w:p w14:paraId="4DAB95BA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Varian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t</w:t>
            </w:r>
          </w:p>
        </w:tc>
        <w:tc>
          <w:tcPr>
            <w:tcW w:w="1080" w:type="dxa"/>
          </w:tcPr>
          <w:p w14:paraId="4A9BEA85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D1_SVM_R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aw</w:t>
            </w:r>
          </w:p>
        </w:tc>
        <w:tc>
          <w:tcPr>
            <w:tcW w:w="1080" w:type="dxa"/>
          </w:tcPr>
          <w:p w14:paraId="5A80C403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D1_SVM_I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CA</w:t>
            </w:r>
          </w:p>
        </w:tc>
        <w:tc>
          <w:tcPr>
            <w:tcW w:w="1080" w:type="dxa"/>
          </w:tcPr>
          <w:p w14:paraId="18EC7CCF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D1_LR_R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aw</w:t>
            </w:r>
          </w:p>
        </w:tc>
        <w:tc>
          <w:tcPr>
            <w:tcW w:w="1080" w:type="dxa"/>
          </w:tcPr>
          <w:p w14:paraId="437CE33F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D1_LR_I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CA</w:t>
            </w:r>
          </w:p>
        </w:tc>
        <w:tc>
          <w:tcPr>
            <w:tcW w:w="1080" w:type="dxa"/>
          </w:tcPr>
          <w:p w14:paraId="2926BDC2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D2_SVM_R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aw</w:t>
            </w:r>
          </w:p>
        </w:tc>
        <w:tc>
          <w:tcPr>
            <w:tcW w:w="1080" w:type="dxa"/>
          </w:tcPr>
          <w:p w14:paraId="4E4A7519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D2_SVM_I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CA</w:t>
            </w:r>
          </w:p>
        </w:tc>
        <w:tc>
          <w:tcPr>
            <w:tcW w:w="1080" w:type="dxa"/>
          </w:tcPr>
          <w:p w14:paraId="197B0DB6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D2_LR_R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aw</w:t>
            </w:r>
          </w:p>
        </w:tc>
        <w:tc>
          <w:tcPr>
            <w:tcW w:w="1080" w:type="dxa"/>
          </w:tcPr>
          <w:p w14:paraId="20C9B97D" w14:textId="77777777" w:rsidR="00F86FEF" w:rsidRDefault="00000000">
            <w:pPr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D2_LR_I</w:t>
            </w:r>
            <w:r>
              <w:rPr>
                <w:rFonts w:ascii="Arial" w:hAnsi="Arial"/>
                <w:b/>
                <w:color w:val="000000"/>
                <w:sz w:val="17"/>
              </w:rPr>
              <w:lastRenderedPageBreak/>
              <w:t>CA</w:t>
            </w:r>
          </w:p>
        </w:tc>
      </w:tr>
      <w:tr w:rsidR="00F86FEF" w14:paraId="2BD4B88A" w14:textId="77777777">
        <w:trPr>
          <w:jc w:val="center"/>
        </w:trPr>
        <w:tc>
          <w:tcPr>
            <w:tcW w:w="1584" w:type="dxa"/>
          </w:tcPr>
          <w:p w14:paraId="55C20C28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lastRenderedPageBreak/>
              <w:t>Baseline</w:t>
            </w:r>
          </w:p>
        </w:tc>
        <w:tc>
          <w:tcPr>
            <w:tcW w:w="1728" w:type="dxa"/>
          </w:tcPr>
          <w:p w14:paraId="10594B4D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Full Feature Set</w:t>
            </w:r>
          </w:p>
        </w:tc>
        <w:tc>
          <w:tcPr>
            <w:tcW w:w="1080" w:type="dxa"/>
          </w:tcPr>
          <w:p w14:paraId="4CAA8A9C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0.60/0.55</w:t>
            </w:r>
          </w:p>
        </w:tc>
        <w:tc>
          <w:tcPr>
            <w:tcW w:w="1080" w:type="dxa"/>
          </w:tcPr>
          <w:p w14:paraId="45946102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0.60/0.55</w:t>
            </w:r>
          </w:p>
        </w:tc>
        <w:tc>
          <w:tcPr>
            <w:tcW w:w="1080" w:type="dxa"/>
          </w:tcPr>
          <w:p w14:paraId="685A5780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0.58/0.54</w:t>
            </w:r>
          </w:p>
        </w:tc>
        <w:tc>
          <w:tcPr>
            <w:tcW w:w="1080" w:type="dxa"/>
          </w:tcPr>
          <w:p w14:paraId="6CDBB82B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0.58/0.55</w:t>
            </w:r>
          </w:p>
        </w:tc>
        <w:tc>
          <w:tcPr>
            <w:tcW w:w="1080" w:type="dxa"/>
          </w:tcPr>
          <w:p w14:paraId="44352E53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0.61/0.63</w:t>
            </w:r>
          </w:p>
        </w:tc>
        <w:tc>
          <w:tcPr>
            <w:tcW w:w="1080" w:type="dxa"/>
          </w:tcPr>
          <w:p w14:paraId="473F04C9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0.50/0.61</w:t>
            </w:r>
          </w:p>
        </w:tc>
        <w:tc>
          <w:tcPr>
            <w:tcW w:w="1080" w:type="dxa"/>
          </w:tcPr>
          <w:p w14:paraId="57A77CAB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0.63/0.65</w:t>
            </w:r>
          </w:p>
        </w:tc>
        <w:tc>
          <w:tcPr>
            <w:tcW w:w="1080" w:type="dxa"/>
          </w:tcPr>
          <w:p w14:paraId="4F668A4E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0.59/0.63</w:t>
            </w:r>
          </w:p>
        </w:tc>
      </w:tr>
      <w:tr w:rsidR="00F86FEF" w14:paraId="5357C613" w14:textId="77777777">
        <w:trPr>
          <w:jc w:val="center"/>
        </w:trPr>
        <w:tc>
          <w:tcPr>
            <w:tcW w:w="1584" w:type="dxa"/>
          </w:tcPr>
          <w:p w14:paraId="1AB856AF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Feature Family (Isolate)</w:t>
            </w:r>
          </w:p>
        </w:tc>
        <w:tc>
          <w:tcPr>
            <w:tcW w:w="1728" w:type="dxa"/>
          </w:tcPr>
          <w:p w14:paraId="2CE2352B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Only Spectral</w:t>
            </w:r>
          </w:p>
        </w:tc>
        <w:tc>
          <w:tcPr>
            <w:tcW w:w="1080" w:type="dxa"/>
          </w:tcPr>
          <w:p w14:paraId="7D1E71EF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0.55/0.54</w:t>
            </w:r>
          </w:p>
        </w:tc>
        <w:tc>
          <w:tcPr>
            <w:tcW w:w="1080" w:type="dxa"/>
          </w:tcPr>
          <w:p w14:paraId="1405CA53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0.56/0.57</w:t>
            </w:r>
          </w:p>
        </w:tc>
        <w:tc>
          <w:tcPr>
            <w:tcW w:w="1080" w:type="dxa"/>
          </w:tcPr>
          <w:p w14:paraId="3D2F863A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0.54/0.55</w:t>
            </w:r>
          </w:p>
        </w:tc>
        <w:tc>
          <w:tcPr>
            <w:tcW w:w="1080" w:type="dxa"/>
          </w:tcPr>
          <w:p w14:paraId="633D4220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0.53/0.55</w:t>
            </w:r>
          </w:p>
        </w:tc>
        <w:tc>
          <w:tcPr>
            <w:tcW w:w="1080" w:type="dxa"/>
          </w:tcPr>
          <w:p w14:paraId="401EA469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0.67/0.66</w:t>
            </w:r>
          </w:p>
        </w:tc>
        <w:tc>
          <w:tcPr>
            <w:tcW w:w="1080" w:type="dxa"/>
          </w:tcPr>
          <w:p w14:paraId="7296215D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0.57/0.59</w:t>
            </w:r>
          </w:p>
        </w:tc>
        <w:tc>
          <w:tcPr>
            <w:tcW w:w="1080" w:type="dxa"/>
          </w:tcPr>
          <w:p w14:paraId="048AE918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0.74/0.68</w:t>
            </w:r>
          </w:p>
        </w:tc>
        <w:tc>
          <w:tcPr>
            <w:tcW w:w="1080" w:type="dxa"/>
          </w:tcPr>
          <w:p w14:paraId="601CFE61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0.69/0.60</w:t>
            </w:r>
          </w:p>
        </w:tc>
      </w:tr>
      <w:tr w:rsidR="00F86FEF" w14:paraId="61634E5F" w14:textId="77777777">
        <w:trPr>
          <w:jc w:val="center"/>
        </w:trPr>
        <w:tc>
          <w:tcPr>
            <w:tcW w:w="1584" w:type="dxa"/>
          </w:tcPr>
          <w:p w14:paraId="6956A3E3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Scalp Region (Isolate)</w:t>
            </w:r>
          </w:p>
        </w:tc>
        <w:tc>
          <w:tcPr>
            <w:tcW w:w="1728" w:type="dxa"/>
          </w:tcPr>
          <w:p w14:paraId="3BDA2544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Only Central &amp; Temporal</w:t>
            </w:r>
          </w:p>
        </w:tc>
        <w:tc>
          <w:tcPr>
            <w:tcW w:w="1080" w:type="dxa"/>
          </w:tcPr>
          <w:p w14:paraId="3AD4677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0.61/0.54</w:t>
            </w:r>
          </w:p>
        </w:tc>
        <w:tc>
          <w:tcPr>
            <w:tcW w:w="1080" w:type="dxa"/>
          </w:tcPr>
          <w:p w14:paraId="0191F7D5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0.61/0.54</w:t>
            </w:r>
          </w:p>
        </w:tc>
        <w:tc>
          <w:tcPr>
            <w:tcW w:w="1080" w:type="dxa"/>
          </w:tcPr>
          <w:p w14:paraId="57DD5150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0.58/0.54</w:t>
            </w:r>
          </w:p>
        </w:tc>
        <w:tc>
          <w:tcPr>
            <w:tcW w:w="1080" w:type="dxa"/>
          </w:tcPr>
          <w:p w14:paraId="608546F9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0.58/0.54</w:t>
            </w:r>
          </w:p>
        </w:tc>
        <w:tc>
          <w:tcPr>
            <w:tcW w:w="1080" w:type="dxa"/>
          </w:tcPr>
          <w:p w14:paraId="7400ACC0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0.67/0.53</w:t>
            </w:r>
          </w:p>
        </w:tc>
        <w:tc>
          <w:tcPr>
            <w:tcW w:w="1080" w:type="dxa"/>
          </w:tcPr>
          <w:p w14:paraId="58F029F9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0.55/0.60</w:t>
            </w:r>
          </w:p>
        </w:tc>
        <w:tc>
          <w:tcPr>
            <w:tcW w:w="1080" w:type="dxa"/>
          </w:tcPr>
          <w:p w14:paraId="108728C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0.66/0.67</w:t>
            </w:r>
          </w:p>
        </w:tc>
        <w:tc>
          <w:tcPr>
            <w:tcW w:w="1080" w:type="dxa"/>
          </w:tcPr>
          <w:p w14:paraId="2C33FC50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0.59/0.63</w:t>
            </w:r>
          </w:p>
        </w:tc>
      </w:tr>
      <w:tr w:rsidR="00F86FEF" w14:paraId="4D652A77" w14:textId="77777777">
        <w:trPr>
          <w:jc w:val="center"/>
        </w:trPr>
        <w:tc>
          <w:tcPr>
            <w:tcW w:w="1584" w:type="dxa"/>
          </w:tcPr>
          <w:p w14:paraId="39C26D07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Scalp Region (Isolate)</w:t>
            </w:r>
          </w:p>
        </w:tc>
        <w:tc>
          <w:tcPr>
            <w:tcW w:w="1728" w:type="dxa"/>
          </w:tcPr>
          <w:p w14:paraId="72DD6933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Only Posterior</w:t>
            </w:r>
          </w:p>
        </w:tc>
        <w:tc>
          <w:tcPr>
            <w:tcW w:w="1080" w:type="dxa"/>
          </w:tcPr>
          <w:p w14:paraId="3319CA8E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0.58/0.51</w:t>
            </w:r>
          </w:p>
        </w:tc>
        <w:tc>
          <w:tcPr>
            <w:tcW w:w="1080" w:type="dxa"/>
          </w:tcPr>
          <w:p w14:paraId="7F7C7B54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0.58/0.52</w:t>
            </w:r>
          </w:p>
        </w:tc>
        <w:tc>
          <w:tcPr>
            <w:tcW w:w="1080" w:type="dxa"/>
          </w:tcPr>
          <w:p w14:paraId="65944C3C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0.55/0.50</w:t>
            </w:r>
          </w:p>
        </w:tc>
        <w:tc>
          <w:tcPr>
            <w:tcW w:w="1080" w:type="dxa"/>
          </w:tcPr>
          <w:p w14:paraId="053D8A6B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0.55/0.50</w:t>
            </w:r>
          </w:p>
        </w:tc>
        <w:tc>
          <w:tcPr>
            <w:tcW w:w="1080" w:type="dxa"/>
          </w:tcPr>
          <w:p w14:paraId="24F3DE93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0.59/0.62</w:t>
            </w:r>
          </w:p>
        </w:tc>
        <w:tc>
          <w:tcPr>
            <w:tcW w:w="1080" w:type="dxa"/>
          </w:tcPr>
          <w:p w14:paraId="3AAE6D9E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0.57/0.63</w:t>
            </w:r>
          </w:p>
        </w:tc>
        <w:tc>
          <w:tcPr>
            <w:tcW w:w="1080" w:type="dxa"/>
          </w:tcPr>
          <w:p w14:paraId="50B0136D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0.67/0.60</w:t>
            </w:r>
          </w:p>
        </w:tc>
        <w:tc>
          <w:tcPr>
            <w:tcW w:w="1080" w:type="dxa"/>
          </w:tcPr>
          <w:p w14:paraId="0DE60BF3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0.62/0.56</w:t>
            </w:r>
          </w:p>
        </w:tc>
      </w:tr>
      <w:tr w:rsidR="00F86FEF" w14:paraId="1B2C9FC4" w14:textId="77777777">
        <w:trPr>
          <w:jc w:val="center"/>
        </w:trPr>
        <w:tc>
          <w:tcPr>
            <w:tcW w:w="1584" w:type="dxa"/>
          </w:tcPr>
          <w:p w14:paraId="3D1AF21E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Baseline (Band)</w:t>
            </w:r>
          </w:p>
        </w:tc>
        <w:tc>
          <w:tcPr>
            <w:tcW w:w="1728" w:type="dxa"/>
          </w:tcPr>
          <w:p w14:paraId="4DC74F66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Full Band Feature Set</w:t>
            </w:r>
          </w:p>
        </w:tc>
        <w:tc>
          <w:tcPr>
            <w:tcW w:w="1080" w:type="dxa"/>
          </w:tcPr>
          <w:p w14:paraId="723DE879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0.59/0.53</w:t>
            </w:r>
          </w:p>
        </w:tc>
        <w:tc>
          <w:tcPr>
            <w:tcW w:w="1080" w:type="dxa"/>
          </w:tcPr>
          <w:p w14:paraId="4C0C63CA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0.60/0.53</w:t>
            </w:r>
          </w:p>
        </w:tc>
        <w:tc>
          <w:tcPr>
            <w:tcW w:w="1080" w:type="dxa"/>
          </w:tcPr>
          <w:p w14:paraId="125D23B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0.59/0.55</w:t>
            </w:r>
          </w:p>
        </w:tc>
        <w:tc>
          <w:tcPr>
            <w:tcW w:w="1080" w:type="dxa"/>
          </w:tcPr>
          <w:p w14:paraId="1A2FC31A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0.59/0.56</w:t>
            </w:r>
          </w:p>
        </w:tc>
        <w:tc>
          <w:tcPr>
            <w:tcW w:w="1080" w:type="dxa"/>
          </w:tcPr>
          <w:p w14:paraId="355C88F3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0.71/0.58</w:t>
            </w:r>
          </w:p>
        </w:tc>
        <w:tc>
          <w:tcPr>
            <w:tcW w:w="1080" w:type="dxa"/>
          </w:tcPr>
          <w:p w14:paraId="39FE973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0.70/0.56</w:t>
            </w:r>
          </w:p>
        </w:tc>
        <w:tc>
          <w:tcPr>
            <w:tcW w:w="1080" w:type="dxa"/>
          </w:tcPr>
          <w:p w14:paraId="76FBD0A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0.67/0.46</w:t>
            </w:r>
          </w:p>
        </w:tc>
        <w:tc>
          <w:tcPr>
            <w:tcW w:w="1080" w:type="dxa"/>
          </w:tcPr>
          <w:p w14:paraId="35806EEF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0.62/0.41</w:t>
            </w:r>
          </w:p>
        </w:tc>
      </w:tr>
      <w:tr w:rsidR="00F86FEF" w14:paraId="05B8DA25" w14:textId="77777777">
        <w:trPr>
          <w:jc w:val="center"/>
        </w:trPr>
        <w:tc>
          <w:tcPr>
            <w:tcW w:w="1584" w:type="dxa"/>
          </w:tcPr>
          <w:p w14:paraId="19F9ECFC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Frequency Band (Omit)</w:t>
            </w:r>
          </w:p>
        </w:tc>
        <w:tc>
          <w:tcPr>
            <w:tcW w:w="1728" w:type="dxa"/>
          </w:tcPr>
          <w:p w14:paraId="24053DAA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Omit Alpha</w:t>
            </w:r>
          </w:p>
        </w:tc>
        <w:tc>
          <w:tcPr>
            <w:tcW w:w="1080" w:type="dxa"/>
          </w:tcPr>
          <w:p w14:paraId="781B6C7C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0.59/0.52</w:t>
            </w:r>
          </w:p>
        </w:tc>
        <w:tc>
          <w:tcPr>
            <w:tcW w:w="1080" w:type="dxa"/>
          </w:tcPr>
          <w:p w14:paraId="4F1DC70F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0.60/0.54</w:t>
            </w:r>
          </w:p>
        </w:tc>
        <w:tc>
          <w:tcPr>
            <w:tcW w:w="1080" w:type="dxa"/>
          </w:tcPr>
          <w:p w14:paraId="446A679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0.59/0.56</w:t>
            </w:r>
          </w:p>
        </w:tc>
        <w:tc>
          <w:tcPr>
            <w:tcW w:w="1080" w:type="dxa"/>
          </w:tcPr>
          <w:p w14:paraId="4114B6DD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0.58/0.56</w:t>
            </w:r>
          </w:p>
        </w:tc>
        <w:tc>
          <w:tcPr>
            <w:tcW w:w="1080" w:type="dxa"/>
          </w:tcPr>
          <w:p w14:paraId="52B8202A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0.61/0.50</w:t>
            </w:r>
          </w:p>
        </w:tc>
        <w:tc>
          <w:tcPr>
            <w:tcW w:w="1080" w:type="dxa"/>
          </w:tcPr>
          <w:p w14:paraId="7CB6C9F7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0.59/0.45</w:t>
            </w:r>
          </w:p>
        </w:tc>
        <w:tc>
          <w:tcPr>
            <w:tcW w:w="1080" w:type="dxa"/>
          </w:tcPr>
          <w:p w14:paraId="0B6EF95A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0.62/0.35</w:t>
            </w:r>
          </w:p>
        </w:tc>
        <w:tc>
          <w:tcPr>
            <w:tcW w:w="1080" w:type="dxa"/>
          </w:tcPr>
          <w:p w14:paraId="3B60A579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0.60/0.42</w:t>
            </w:r>
          </w:p>
        </w:tc>
      </w:tr>
      <w:tr w:rsidR="00F86FEF" w14:paraId="0E7A9926" w14:textId="77777777">
        <w:trPr>
          <w:jc w:val="center"/>
        </w:trPr>
        <w:tc>
          <w:tcPr>
            <w:tcW w:w="1584" w:type="dxa"/>
          </w:tcPr>
          <w:p w14:paraId="1F955FFC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Frequency Band (Isolate)</w:t>
            </w:r>
          </w:p>
        </w:tc>
        <w:tc>
          <w:tcPr>
            <w:tcW w:w="1728" w:type="dxa"/>
          </w:tcPr>
          <w:p w14:paraId="40901645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Only Alpha</w:t>
            </w:r>
          </w:p>
        </w:tc>
        <w:tc>
          <w:tcPr>
            <w:tcW w:w="1080" w:type="dxa"/>
          </w:tcPr>
          <w:p w14:paraId="72B33918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0.55/0.52</w:t>
            </w:r>
          </w:p>
        </w:tc>
        <w:tc>
          <w:tcPr>
            <w:tcW w:w="1080" w:type="dxa"/>
          </w:tcPr>
          <w:p w14:paraId="60A23A5D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0.55/0.50</w:t>
            </w:r>
          </w:p>
        </w:tc>
        <w:tc>
          <w:tcPr>
            <w:tcW w:w="1080" w:type="dxa"/>
          </w:tcPr>
          <w:p w14:paraId="4AA5EA4F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0.55/0.54</w:t>
            </w:r>
          </w:p>
        </w:tc>
        <w:tc>
          <w:tcPr>
            <w:tcW w:w="1080" w:type="dxa"/>
          </w:tcPr>
          <w:p w14:paraId="5A1AC173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0.56/0.54</w:t>
            </w:r>
          </w:p>
        </w:tc>
        <w:tc>
          <w:tcPr>
            <w:tcW w:w="1080" w:type="dxa"/>
          </w:tcPr>
          <w:p w14:paraId="4F7C3011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0.71/0.56</w:t>
            </w:r>
          </w:p>
        </w:tc>
        <w:tc>
          <w:tcPr>
            <w:tcW w:w="1080" w:type="dxa"/>
          </w:tcPr>
          <w:p w14:paraId="6A4CED77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0.64/0.55</w:t>
            </w:r>
          </w:p>
        </w:tc>
        <w:tc>
          <w:tcPr>
            <w:tcW w:w="1080" w:type="dxa"/>
          </w:tcPr>
          <w:p w14:paraId="243EE0A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0.62/0.54</w:t>
            </w:r>
          </w:p>
        </w:tc>
        <w:tc>
          <w:tcPr>
            <w:tcW w:w="1080" w:type="dxa"/>
          </w:tcPr>
          <w:p w14:paraId="1B3D01CB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0.59/0.55</w:t>
            </w:r>
          </w:p>
        </w:tc>
      </w:tr>
      <w:tr w:rsidR="00F86FEF" w14:paraId="225A8F0F" w14:textId="77777777">
        <w:trPr>
          <w:jc w:val="center"/>
        </w:trPr>
        <w:tc>
          <w:tcPr>
            <w:tcW w:w="1584" w:type="dxa"/>
          </w:tcPr>
          <w:p w14:paraId="1051F676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Frequency Band (Isolate)</w:t>
            </w:r>
          </w:p>
        </w:tc>
        <w:tc>
          <w:tcPr>
            <w:tcW w:w="1728" w:type="dxa"/>
          </w:tcPr>
          <w:p w14:paraId="3368D46D" w14:textId="77777777" w:rsidR="00F86FEF" w:rsidRDefault="00000000">
            <w:r>
              <w:rPr>
                <w:rFonts w:ascii="Arial" w:hAnsi="Arial"/>
                <w:color w:val="000000"/>
                <w:sz w:val="16"/>
              </w:rPr>
              <w:t>Only Theta</w:t>
            </w:r>
          </w:p>
        </w:tc>
        <w:tc>
          <w:tcPr>
            <w:tcW w:w="1080" w:type="dxa"/>
          </w:tcPr>
          <w:p w14:paraId="57AA1EFB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0.59/0.52</w:t>
            </w:r>
          </w:p>
        </w:tc>
        <w:tc>
          <w:tcPr>
            <w:tcW w:w="1080" w:type="dxa"/>
          </w:tcPr>
          <w:p w14:paraId="347364AB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0.59/0.49</w:t>
            </w:r>
          </w:p>
        </w:tc>
        <w:tc>
          <w:tcPr>
            <w:tcW w:w="1080" w:type="dxa"/>
          </w:tcPr>
          <w:p w14:paraId="49E9B3A9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0.57/0.53</w:t>
            </w:r>
          </w:p>
        </w:tc>
        <w:tc>
          <w:tcPr>
            <w:tcW w:w="1080" w:type="dxa"/>
          </w:tcPr>
          <w:p w14:paraId="259E356F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0.58/0.54</w:t>
            </w:r>
          </w:p>
        </w:tc>
        <w:tc>
          <w:tcPr>
            <w:tcW w:w="1080" w:type="dxa"/>
          </w:tcPr>
          <w:p w14:paraId="4174B16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0.55/0.52</w:t>
            </w:r>
          </w:p>
        </w:tc>
        <w:tc>
          <w:tcPr>
            <w:tcW w:w="1080" w:type="dxa"/>
          </w:tcPr>
          <w:p w14:paraId="34C67A3C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0.54/0.49</w:t>
            </w:r>
          </w:p>
        </w:tc>
        <w:tc>
          <w:tcPr>
            <w:tcW w:w="1080" w:type="dxa"/>
          </w:tcPr>
          <w:p w14:paraId="3D4C2404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0.58/0.39</w:t>
            </w:r>
          </w:p>
        </w:tc>
        <w:tc>
          <w:tcPr>
            <w:tcW w:w="1080" w:type="dxa"/>
          </w:tcPr>
          <w:p w14:paraId="2D0E8D96" w14:textId="77777777" w:rsidR="00F86FEF" w:rsidRDefault="00000000">
            <w:pPr>
              <w:jc w:val="center"/>
            </w:pPr>
            <w:r>
              <w:rPr>
                <w:rFonts w:ascii="Arial" w:hAnsi="Arial"/>
                <w:color w:val="000000"/>
                <w:sz w:val="16"/>
              </w:rPr>
              <w:t>0.59/0.50</w:t>
            </w:r>
          </w:p>
        </w:tc>
      </w:tr>
    </w:tbl>
    <w:p w14:paraId="072EE494" w14:textId="77777777" w:rsidR="009A3C2A" w:rsidRDefault="009A3C2A"/>
    <w:sectPr w:rsidR="009A3C2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2730815">
    <w:abstractNumId w:val="8"/>
  </w:num>
  <w:num w:numId="2" w16cid:durableId="1817452014">
    <w:abstractNumId w:val="6"/>
  </w:num>
  <w:num w:numId="3" w16cid:durableId="1247035160">
    <w:abstractNumId w:val="5"/>
  </w:num>
  <w:num w:numId="4" w16cid:durableId="1103770799">
    <w:abstractNumId w:val="4"/>
  </w:num>
  <w:num w:numId="5" w16cid:durableId="33502669">
    <w:abstractNumId w:val="7"/>
  </w:num>
  <w:num w:numId="6" w16cid:durableId="1137336432">
    <w:abstractNumId w:val="3"/>
  </w:num>
  <w:num w:numId="7" w16cid:durableId="1600021363">
    <w:abstractNumId w:val="2"/>
  </w:num>
  <w:num w:numId="8" w16cid:durableId="105780104">
    <w:abstractNumId w:val="1"/>
  </w:num>
  <w:num w:numId="9" w16cid:durableId="1030376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D6B"/>
    <w:rsid w:val="00784267"/>
    <w:rsid w:val="009A3C2A"/>
    <w:rsid w:val="00AA1D8D"/>
    <w:rsid w:val="00B47730"/>
    <w:rsid w:val="00CB0664"/>
    <w:rsid w:val="00CD1CA5"/>
    <w:rsid w:val="00F86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E39513"/>
  <w14:defaultImageDpi w14:val="300"/>
  <w15:docId w15:val="{0A22E421-FA4E-49DF-9608-11EF43B8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Rishwanth J V K</cp:lastModifiedBy>
  <cp:revision>3</cp:revision>
  <dcterms:created xsi:type="dcterms:W3CDTF">2013-12-23T23:15:00Z</dcterms:created>
  <dcterms:modified xsi:type="dcterms:W3CDTF">2026-08-26T11:32:00Z</dcterms:modified>
  <cp:category/>
</cp:coreProperties>
</file>