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08E1" w14:textId="77777777" w:rsidR="00320370" w:rsidRPr="00164A9A" w:rsidRDefault="00000000">
      <w:pPr>
        <w:spacing w:after="360"/>
        <w:jc w:val="center"/>
        <w:rPr>
          <w:bCs/>
        </w:rPr>
      </w:pPr>
      <w:r w:rsidRPr="00164A9A">
        <w:rPr>
          <w:rFonts w:ascii="Calibri Light" w:hAnsi="Calibri Light"/>
          <w:bCs/>
          <w:color w:val="003366"/>
          <w:sz w:val="40"/>
        </w:rPr>
        <w:t>EEG Mind-Wandering Analysis:</w:t>
      </w:r>
      <w:r w:rsidRPr="00164A9A">
        <w:rPr>
          <w:rFonts w:ascii="Calibri Light" w:hAnsi="Calibri Light"/>
          <w:bCs/>
          <w:color w:val="003366"/>
          <w:sz w:val="40"/>
        </w:rPr>
        <w:br/>
        <w:t>Consistent Advanced Modeling and Feature Importance Findings</w:t>
      </w:r>
    </w:p>
    <w:p w14:paraId="5C81AACE" w14:textId="77777777" w:rsidR="00320370" w:rsidRPr="00164A9A" w:rsidRDefault="00000000">
      <w:pPr>
        <w:keepNext/>
        <w:pBdr>
          <w:bottom w:val="single" w:sz="6" w:space="4" w:color="003366"/>
        </w:pBdr>
        <w:spacing w:before="360"/>
        <w:rPr>
          <w:bCs/>
        </w:rPr>
      </w:pPr>
      <w:r w:rsidRPr="00164A9A">
        <w:rPr>
          <w:bCs/>
          <w:color w:val="003366"/>
          <w:sz w:val="28"/>
        </w:rPr>
        <w:t>Executive Summary</w:t>
      </w:r>
    </w:p>
    <w:p w14:paraId="75827F78" w14:textId="77777777" w:rsidR="00320370" w:rsidRPr="00164A9A" w:rsidRDefault="00000000">
      <w:pPr>
        <w:rPr>
          <w:bCs/>
        </w:rPr>
      </w:pPr>
      <w:r w:rsidRPr="00164A9A">
        <w:rPr>
          <w:bCs/>
        </w:rPr>
        <w:t>This document presents a comprehensive summary of consistent findings, conclusions, and interpretations across Dataset 1 (19-channel EEG) and Dataset 2 (64-channel breath-counting EEG) that are not covered in the existing files EEG_Ablation_Study_Conclusions.docx and EEG_Bandwise_Analysis_Commonalities.docx. In accordance with the project criteria, this report excludes all findings that are conflicting or show opposite directions between the two datasets, focusing strictly on robust, reproducible commonalities.</w:t>
      </w:r>
    </w:p>
    <w:p w14:paraId="2A61083F" w14:textId="77777777" w:rsidR="00320370" w:rsidRPr="00164A9A" w:rsidRDefault="00000000">
      <w:pPr>
        <w:keepNext/>
        <w:spacing w:before="240" w:after="80"/>
        <w:rPr>
          <w:bCs/>
        </w:rPr>
      </w:pPr>
      <w:r w:rsidRPr="00164A9A">
        <w:rPr>
          <w:bCs/>
          <w:color w:val="5A5A5A"/>
          <w:sz w:val="23"/>
        </w:rPr>
        <w:t>Key Consistent Takeaways:</w:t>
      </w:r>
    </w:p>
    <w:p w14:paraId="678610DB" w14:textId="77777777" w:rsidR="00320370" w:rsidRPr="00164A9A" w:rsidRDefault="00000000">
      <w:pPr>
        <w:pStyle w:val="ListBullet"/>
        <w:spacing w:after="80"/>
        <w:rPr>
          <w:bCs/>
        </w:rPr>
      </w:pPr>
      <w:r w:rsidRPr="00164A9A">
        <w:rPr>
          <w:bCs/>
        </w:rPr>
        <w:t>Consistent Advanced Classifier Superiority: In both datasets, advanced classifiers (Deep MLP and ExtraTrees) consistently outperform standard linear baselines (SVM and Logistic Regression). This highlights that non-linear architectures and tree-based ensembles are superior at resolving the spatial/spectral signatures of mind-wandering.</w:t>
      </w:r>
    </w:p>
    <w:p w14:paraId="1D4195B3" w14:textId="77777777" w:rsidR="00320370" w:rsidRPr="00164A9A" w:rsidRDefault="00000000">
      <w:pPr>
        <w:pStyle w:val="ListBullet"/>
        <w:spacing w:after="80"/>
        <w:rPr>
          <w:bCs/>
        </w:rPr>
      </w:pPr>
      <w:r w:rsidRPr="00164A9A">
        <w:rPr>
          <w:bCs/>
        </w:rPr>
        <w:t>Functional Connectivity Redundancy: Despite representing by far the largest feature counts (361 features in Dataset 1, 4096 features in Dataset 2), phase-based functional connectivity (Phase Locking Value) contributes almost nothing to classification (&lt;3.2% total importance in both datasets). This shows that remote phase synchronization is highly redundant, and mind-wandering states are primarily characterized by localized spectral and amplitude changes.</w:t>
      </w:r>
    </w:p>
    <w:p w14:paraId="7818BC54" w14:textId="77777777" w:rsidR="00320370" w:rsidRPr="00164A9A" w:rsidRDefault="00000000">
      <w:pPr>
        <w:pStyle w:val="ListBullet"/>
        <w:spacing w:after="80"/>
        <w:rPr>
          <w:bCs/>
        </w:rPr>
      </w:pPr>
      <w:r w:rsidRPr="00164A9A">
        <w:rPr>
          <w:bCs/>
        </w:rPr>
        <w:t>High Information Density of Hjorth Features: Hjorth features (Activity, Mobility, Complexity) consistently represent a highly dense and informative feature category across both studies. In Dataset 1, they carry the highest mean importance per feature (0.0071), and they remain highly predictive in Dataset 2 (mean 0.00055), showing that localized signal complexity and speed of change are robust markers.</w:t>
      </w:r>
    </w:p>
    <w:p w14:paraId="67FDED95" w14:textId="77777777" w:rsidR="00320370" w:rsidRPr="00164A9A" w:rsidRDefault="00000000">
      <w:pPr>
        <w:pStyle w:val="ListBullet"/>
        <w:spacing w:after="80"/>
        <w:rPr>
          <w:bCs/>
        </w:rPr>
      </w:pPr>
      <w:r w:rsidRPr="00164A9A">
        <w:rPr>
          <w:bCs/>
        </w:rPr>
        <w:t>Universal Band-Power Dominance: Band-power features are the primary overall feature category driving classification in both studies, accounting for the largest total importance (50.4% in Dataset 1 and 41.5% in Dataset 2).</w:t>
      </w:r>
    </w:p>
    <w:p w14:paraId="13904BC4" w14:textId="77777777" w:rsidR="00320370" w:rsidRPr="00164A9A" w:rsidRDefault="00000000">
      <w:pPr>
        <w:pStyle w:val="ListBullet"/>
        <w:spacing w:after="80"/>
        <w:rPr>
          <w:bCs/>
        </w:rPr>
      </w:pPr>
      <w:r w:rsidRPr="00164A9A">
        <w:rPr>
          <w:bCs/>
        </w:rPr>
        <w:t>Consistent Beta Band Non-Significance: Both studies show that Beta band mean power exhibits a consistent, non-significant negative difference between mind-wandering and focus states, indicating that Beta power is not a strong standalone marker for mind-wandering in either context.</w:t>
      </w:r>
    </w:p>
    <w:p w14:paraId="21B7617E" w14:textId="77777777" w:rsidR="00320370" w:rsidRPr="00164A9A" w:rsidRDefault="00000000">
      <w:pPr>
        <w:keepNext/>
        <w:pBdr>
          <w:bottom w:val="single" w:sz="6" w:space="4" w:color="003366"/>
        </w:pBdr>
        <w:spacing w:before="360"/>
        <w:rPr>
          <w:bCs/>
        </w:rPr>
      </w:pPr>
      <w:r w:rsidRPr="00164A9A">
        <w:rPr>
          <w:bCs/>
          <w:color w:val="003366"/>
          <w:sz w:val="28"/>
        </w:rPr>
        <w:t>1. Consistent Advanced Modeling Performance Superiority</w:t>
      </w:r>
    </w:p>
    <w:p w14:paraId="1323D699" w14:textId="77777777" w:rsidR="00320370" w:rsidRPr="00164A9A" w:rsidRDefault="00000000">
      <w:pPr>
        <w:rPr>
          <w:bCs/>
        </w:rPr>
      </w:pPr>
      <w:r w:rsidRPr="00164A9A">
        <w:rPr>
          <w:bCs/>
        </w:rPr>
        <w:t xml:space="preserve">Across both datasets, standard linear models like SVM and Logistic Regression are consistently outperformed by advanced classifiers. The tree-based ExtraTrees classifier and the non-linear Deep MLP </w:t>
      </w:r>
      <w:r w:rsidRPr="00164A9A">
        <w:rPr>
          <w:bCs/>
        </w:rPr>
        <w:lastRenderedPageBreak/>
        <w:t>show clear superiority, indicating that resolving mind-wandering requires modeling complex feature combinations.</w:t>
      </w:r>
    </w:p>
    <w:p w14:paraId="287F6A79" w14:textId="77777777" w:rsidR="00320370" w:rsidRPr="00164A9A" w:rsidRDefault="00000000">
      <w:pPr>
        <w:keepNext/>
        <w:pBdr>
          <w:bottom w:val="single" w:sz="6" w:space="4" w:color="003366"/>
        </w:pBdr>
        <w:spacing w:before="360"/>
        <w:rPr>
          <w:bCs/>
        </w:rPr>
      </w:pPr>
      <w:r w:rsidRPr="00164A9A">
        <w:rPr>
          <w:bCs/>
          <w:color w:val="003366"/>
          <w:sz w:val="28"/>
        </w:rPr>
        <w:t>2. Consistent Feature-Family Importance</w:t>
      </w:r>
    </w:p>
    <w:p w14:paraId="3B2475DB" w14:textId="77777777" w:rsidR="00320370" w:rsidRPr="00164A9A" w:rsidRDefault="00000000">
      <w:pPr>
        <w:rPr>
          <w:bCs/>
        </w:rPr>
      </w:pPr>
      <w:r w:rsidRPr="00164A9A">
        <w:rPr>
          <w:bCs/>
        </w:rPr>
        <w:t>Grouping features into 'umbrella families' shows several robust similarities in feature relevance between the two studies. Specifically, spectral power features dominate, Hjorth parameters show high information density, and functional connectivity features are consistently redundant.</w:t>
      </w:r>
    </w:p>
    <w:tbl>
      <w:tblPr>
        <w:tblW w:w="0" w:type="auto"/>
        <w:jc w:val="center"/>
        <w:tblBorders>
          <w:top w:val="single" w:sz="4" w:space="0" w:color="D3D3D3"/>
          <w:bottom w:val="single" w:sz="6" w:space="0" w:color="808080"/>
          <w:insideH w:val="single" w:sz="4" w:space="0" w:color="E0E0E0"/>
        </w:tblBorders>
        <w:tblLook w:val="04A0" w:firstRow="1" w:lastRow="0" w:firstColumn="1" w:lastColumn="0" w:noHBand="0" w:noVBand="1"/>
      </w:tblPr>
      <w:tblGrid>
        <w:gridCol w:w="1872"/>
        <w:gridCol w:w="1872"/>
        <w:gridCol w:w="1872"/>
        <w:gridCol w:w="1872"/>
        <w:gridCol w:w="1872"/>
      </w:tblGrid>
      <w:tr w:rsidR="00320370" w:rsidRPr="00164A9A" w14:paraId="7512CA10" w14:textId="77777777">
        <w:trPr>
          <w:jc w:val="center"/>
        </w:trPr>
        <w:tc>
          <w:tcPr>
            <w:tcW w:w="1872" w:type="dxa"/>
            <w:shd w:val="clear" w:color="auto" w:fill="003366"/>
            <w:tcMar>
              <w:top w:w="140" w:type="dxa"/>
              <w:left w:w="150" w:type="dxa"/>
              <w:bottom w:w="140" w:type="dxa"/>
              <w:right w:w="150" w:type="dxa"/>
            </w:tcMar>
          </w:tcPr>
          <w:p w14:paraId="00CA1A7E" w14:textId="77777777" w:rsidR="00320370" w:rsidRPr="00164A9A" w:rsidRDefault="00000000">
            <w:pPr>
              <w:jc w:val="center"/>
              <w:rPr>
                <w:bCs/>
              </w:rPr>
            </w:pPr>
            <w:r w:rsidRPr="00164A9A">
              <w:rPr>
                <w:bCs/>
                <w:color w:val="FFFFFF"/>
                <w:sz w:val="21"/>
              </w:rPr>
              <w:t>Feature Family (Umbrella)</w:t>
            </w:r>
          </w:p>
        </w:tc>
        <w:tc>
          <w:tcPr>
            <w:tcW w:w="1872" w:type="dxa"/>
            <w:shd w:val="clear" w:color="auto" w:fill="003366"/>
            <w:tcMar>
              <w:top w:w="140" w:type="dxa"/>
              <w:left w:w="150" w:type="dxa"/>
              <w:bottom w:w="140" w:type="dxa"/>
              <w:right w:w="150" w:type="dxa"/>
            </w:tcMar>
          </w:tcPr>
          <w:p w14:paraId="646715A2" w14:textId="77777777" w:rsidR="00320370" w:rsidRPr="00164A9A" w:rsidRDefault="00000000">
            <w:pPr>
              <w:jc w:val="center"/>
              <w:rPr>
                <w:bCs/>
              </w:rPr>
            </w:pPr>
            <w:r w:rsidRPr="00164A9A">
              <w:rPr>
                <w:bCs/>
                <w:color w:val="FFFFFF"/>
                <w:sz w:val="21"/>
              </w:rPr>
              <w:t>D1 Feature Count</w:t>
            </w:r>
          </w:p>
        </w:tc>
        <w:tc>
          <w:tcPr>
            <w:tcW w:w="1872" w:type="dxa"/>
            <w:shd w:val="clear" w:color="auto" w:fill="003366"/>
            <w:tcMar>
              <w:top w:w="140" w:type="dxa"/>
              <w:left w:w="150" w:type="dxa"/>
              <w:bottom w:w="140" w:type="dxa"/>
              <w:right w:w="150" w:type="dxa"/>
            </w:tcMar>
          </w:tcPr>
          <w:p w14:paraId="61B5DB17" w14:textId="77777777" w:rsidR="00320370" w:rsidRPr="00164A9A" w:rsidRDefault="00000000">
            <w:pPr>
              <w:jc w:val="center"/>
              <w:rPr>
                <w:bCs/>
              </w:rPr>
            </w:pPr>
            <w:r w:rsidRPr="00164A9A">
              <w:rPr>
                <w:bCs/>
                <w:color w:val="FFFFFF"/>
                <w:sz w:val="21"/>
              </w:rPr>
              <w:t>D1 Total Importance</w:t>
            </w:r>
          </w:p>
        </w:tc>
        <w:tc>
          <w:tcPr>
            <w:tcW w:w="1872" w:type="dxa"/>
            <w:shd w:val="clear" w:color="auto" w:fill="003366"/>
            <w:tcMar>
              <w:top w:w="140" w:type="dxa"/>
              <w:left w:w="150" w:type="dxa"/>
              <w:bottom w:w="140" w:type="dxa"/>
              <w:right w:w="150" w:type="dxa"/>
            </w:tcMar>
          </w:tcPr>
          <w:p w14:paraId="18A2F499" w14:textId="77777777" w:rsidR="00320370" w:rsidRPr="00164A9A" w:rsidRDefault="00000000">
            <w:pPr>
              <w:jc w:val="center"/>
              <w:rPr>
                <w:bCs/>
              </w:rPr>
            </w:pPr>
            <w:r w:rsidRPr="00164A9A">
              <w:rPr>
                <w:bCs/>
                <w:color w:val="FFFFFF"/>
                <w:sz w:val="21"/>
              </w:rPr>
              <w:t>D2 Feature Count</w:t>
            </w:r>
          </w:p>
        </w:tc>
        <w:tc>
          <w:tcPr>
            <w:tcW w:w="1872" w:type="dxa"/>
            <w:shd w:val="clear" w:color="auto" w:fill="003366"/>
            <w:tcMar>
              <w:top w:w="140" w:type="dxa"/>
              <w:left w:w="150" w:type="dxa"/>
              <w:bottom w:w="140" w:type="dxa"/>
              <w:right w:w="150" w:type="dxa"/>
            </w:tcMar>
          </w:tcPr>
          <w:p w14:paraId="3E8E52FF" w14:textId="77777777" w:rsidR="00320370" w:rsidRPr="00164A9A" w:rsidRDefault="00000000">
            <w:pPr>
              <w:jc w:val="center"/>
              <w:rPr>
                <w:bCs/>
              </w:rPr>
            </w:pPr>
            <w:r w:rsidRPr="00164A9A">
              <w:rPr>
                <w:bCs/>
                <w:color w:val="FFFFFF"/>
                <w:sz w:val="21"/>
              </w:rPr>
              <w:t>D2 Total Importance</w:t>
            </w:r>
          </w:p>
        </w:tc>
      </w:tr>
      <w:tr w:rsidR="00320370" w:rsidRPr="00164A9A" w14:paraId="64BC43E7" w14:textId="77777777">
        <w:trPr>
          <w:jc w:val="center"/>
        </w:trPr>
        <w:tc>
          <w:tcPr>
            <w:tcW w:w="1872" w:type="dxa"/>
            <w:shd w:val="clear" w:color="auto" w:fill="FFFFFF"/>
            <w:tcMar>
              <w:top w:w="100" w:type="dxa"/>
              <w:left w:w="120" w:type="dxa"/>
              <w:bottom w:w="100" w:type="dxa"/>
              <w:right w:w="120" w:type="dxa"/>
            </w:tcMar>
          </w:tcPr>
          <w:p w14:paraId="6CDEC850" w14:textId="77777777" w:rsidR="00320370" w:rsidRPr="00164A9A" w:rsidRDefault="00000000">
            <w:pPr>
              <w:rPr>
                <w:bCs/>
              </w:rPr>
            </w:pPr>
            <w:r w:rsidRPr="00164A9A">
              <w:rPr>
                <w:bCs/>
                <w:sz w:val="19"/>
              </w:rPr>
              <w:t>Band-power features</w:t>
            </w:r>
          </w:p>
        </w:tc>
        <w:tc>
          <w:tcPr>
            <w:tcW w:w="1872" w:type="dxa"/>
            <w:shd w:val="clear" w:color="auto" w:fill="FFFFFF"/>
            <w:tcMar>
              <w:top w:w="100" w:type="dxa"/>
              <w:left w:w="120" w:type="dxa"/>
              <w:bottom w:w="100" w:type="dxa"/>
              <w:right w:w="120" w:type="dxa"/>
            </w:tcMar>
          </w:tcPr>
          <w:p w14:paraId="39B792AF" w14:textId="77777777" w:rsidR="00320370" w:rsidRPr="00164A9A" w:rsidRDefault="00000000">
            <w:pPr>
              <w:jc w:val="right"/>
              <w:rPr>
                <w:bCs/>
              </w:rPr>
            </w:pPr>
            <w:r w:rsidRPr="00164A9A">
              <w:rPr>
                <w:bCs/>
                <w:sz w:val="19"/>
              </w:rPr>
              <w:t>190</w:t>
            </w:r>
          </w:p>
        </w:tc>
        <w:tc>
          <w:tcPr>
            <w:tcW w:w="1872" w:type="dxa"/>
            <w:shd w:val="clear" w:color="auto" w:fill="FFFFFF"/>
            <w:tcMar>
              <w:top w:w="100" w:type="dxa"/>
              <w:left w:w="120" w:type="dxa"/>
              <w:bottom w:w="100" w:type="dxa"/>
              <w:right w:w="120" w:type="dxa"/>
            </w:tcMar>
          </w:tcPr>
          <w:p w14:paraId="52831386" w14:textId="77777777" w:rsidR="00320370" w:rsidRPr="00164A9A" w:rsidRDefault="00000000">
            <w:pPr>
              <w:jc w:val="right"/>
              <w:rPr>
                <w:bCs/>
              </w:rPr>
            </w:pPr>
            <w:r w:rsidRPr="00164A9A">
              <w:rPr>
                <w:bCs/>
                <w:sz w:val="19"/>
              </w:rPr>
              <w:t>0.5042 (50.4%)</w:t>
            </w:r>
          </w:p>
        </w:tc>
        <w:tc>
          <w:tcPr>
            <w:tcW w:w="1872" w:type="dxa"/>
            <w:shd w:val="clear" w:color="auto" w:fill="FFFFFF"/>
            <w:tcMar>
              <w:top w:w="100" w:type="dxa"/>
              <w:left w:w="120" w:type="dxa"/>
              <w:bottom w:w="100" w:type="dxa"/>
              <w:right w:w="120" w:type="dxa"/>
            </w:tcMar>
          </w:tcPr>
          <w:p w14:paraId="0990CE41" w14:textId="77777777" w:rsidR="00320370" w:rsidRPr="00164A9A" w:rsidRDefault="00000000">
            <w:pPr>
              <w:jc w:val="right"/>
              <w:rPr>
                <w:bCs/>
              </w:rPr>
            </w:pPr>
            <w:r w:rsidRPr="00164A9A">
              <w:rPr>
                <w:bCs/>
                <w:sz w:val="19"/>
              </w:rPr>
              <w:t>640</w:t>
            </w:r>
          </w:p>
        </w:tc>
        <w:tc>
          <w:tcPr>
            <w:tcW w:w="1872" w:type="dxa"/>
            <w:shd w:val="clear" w:color="auto" w:fill="FFFFFF"/>
            <w:tcMar>
              <w:top w:w="100" w:type="dxa"/>
              <w:left w:w="120" w:type="dxa"/>
              <w:bottom w:w="100" w:type="dxa"/>
              <w:right w:w="120" w:type="dxa"/>
            </w:tcMar>
          </w:tcPr>
          <w:p w14:paraId="13454D89" w14:textId="77777777" w:rsidR="00320370" w:rsidRPr="00164A9A" w:rsidRDefault="00000000">
            <w:pPr>
              <w:jc w:val="right"/>
              <w:rPr>
                <w:bCs/>
              </w:rPr>
            </w:pPr>
            <w:r w:rsidRPr="00164A9A">
              <w:rPr>
                <w:bCs/>
                <w:sz w:val="19"/>
              </w:rPr>
              <w:t>0.4150 (41.5%)</w:t>
            </w:r>
          </w:p>
        </w:tc>
      </w:tr>
      <w:tr w:rsidR="00320370" w:rsidRPr="00164A9A" w14:paraId="415332AE" w14:textId="77777777">
        <w:trPr>
          <w:jc w:val="center"/>
        </w:trPr>
        <w:tc>
          <w:tcPr>
            <w:tcW w:w="1872" w:type="dxa"/>
            <w:shd w:val="clear" w:color="auto" w:fill="F9F9F9"/>
            <w:tcMar>
              <w:top w:w="100" w:type="dxa"/>
              <w:left w:w="120" w:type="dxa"/>
              <w:bottom w:w="100" w:type="dxa"/>
              <w:right w:w="120" w:type="dxa"/>
            </w:tcMar>
          </w:tcPr>
          <w:p w14:paraId="2585EB88" w14:textId="77777777" w:rsidR="00320370" w:rsidRPr="00164A9A" w:rsidRDefault="00000000">
            <w:pPr>
              <w:rPr>
                <w:bCs/>
              </w:rPr>
            </w:pPr>
            <w:r w:rsidRPr="00164A9A">
              <w:rPr>
                <w:bCs/>
                <w:sz w:val="19"/>
              </w:rPr>
              <w:t>Hjorth features</w:t>
            </w:r>
          </w:p>
        </w:tc>
        <w:tc>
          <w:tcPr>
            <w:tcW w:w="1872" w:type="dxa"/>
            <w:shd w:val="clear" w:color="auto" w:fill="F9F9F9"/>
            <w:tcMar>
              <w:top w:w="100" w:type="dxa"/>
              <w:left w:w="120" w:type="dxa"/>
              <w:bottom w:w="100" w:type="dxa"/>
              <w:right w:w="120" w:type="dxa"/>
            </w:tcMar>
          </w:tcPr>
          <w:p w14:paraId="1DA9887D" w14:textId="77777777" w:rsidR="00320370" w:rsidRPr="00164A9A" w:rsidRDefault="00000000">
            <w:pPr>
              <w:jc w:val="right"/>
              <w:rPr>
                <w:bCs/>
              </w:rPr>
            </w:pPr>
            <w:r w:rsidRPr="00164A9A">
              <w:rPr>
                <w:bCs/>
                <w:sz w:val="19"/>
              </w:rPr>
              <w:t>38</w:t>
            </w:r>
          </w:p>
        </w:tc>
        <w:tc>
          <w:tcPr>
            <w:tcW w:w="1872" w:type="dxa"/>
            <w:shd w:val="clear" w:color="auto" w:fill="F9F9F9"/>
            <w:tcMar>
              <w:top w:w="100" w:type="dxa"/>
              <w:left w:w="120" w:type="dxa"/>
              <w:bottom w:w="100" w:type="dxa"/>
              <w:right w:w="120" w:type="dxa"/>
            </w:tcMar>
          </w:tcPr>
          <w:p w14:paraId="0BE5F336" w14:textId="77777777" w:rsidR="00320370" w:rsidRPr="00164A9A" w:rsidRDefault="00000000">
            <w:pPr>
              <w:jc w:val="right"/>
              <w:rPr>
                <w:bCs/>
              </w:rPr>
            </w:pPr>
            <w:r w:rsidRPr="00164A9A">
              <w:rPr>
                <w:bCs/>
                <w:sz w:val="19"/>
              </w:rPr>
              <w:t>0.2712 (27.1%)</w:t>
            </w:r>
          </w:p>
        </w:tc>
        <w:tc>
          <w:tcPr>
            <w:tcW w:w="1872" w:type="dxa"/>
            <w:shd w:val="clear" w:color="auto" w:fill="F9F9F9"/>
            <w:tcMar>
              <w:top w:w="100" w:type="dxa"/>
              <w:left w:w="120" w:type="dxa"/>
              <w:bottom w:w="100" w:type="dxa"/>
              <w:right w:w="120" w:type="dxa"/>
            </w:tcMar>
          </w:tcPr>
          <w:p w14:paraId="0FB02341" w14:textId="77777777" w:rsidR="00320370" w:rsidRPr="00164A9A" w:rsidRDefault="00000000">
            <w:pPr>
              <w:jc w:val="right"/>
              <w:rPr>
                <w:bCs/>
              </w:rPr>
            </w:pPr>
            <w:r w:rsidRPr="00164A9A">
              <w:rPr>
                <w:bCs/>
                <w:sz w:val="19"/>
              </w:rPr>
              <w:t>128</w:t>
            </w:r>
          </w:p>
        </w:tc>
        <w:tc>
          <w:tcPr>
            <w:tcW w:w="1872" w:type="dxa"/>
            <w:shd w:val="clear" w:color="auto" w:fill="F9F9F9"/>
            <w:tcMar>
              <w:top w:w="100" w:type="dxa"/>
              <w:left w:w="120" w:type="dxa"/>
              <w:bottom w:w="100" w:type="dxa"/>
              <w:right w:w="120" w:type="dxa"/>
            </w:tcMar>
          </w:tcPr>
          <w:p w14:paraId="734536C6" w14:textId="77777777" w:rsidR="00320370" w:rsidRPr="00164A9A" w:rsidRDefault="00000000">
            <w:pPr>
              <w:jc w:val="right"/>
              <w:rPr>
                <w:bCs/>
              </w:rPr>
            </w:pPr>
            <w:r w:rsidRPr="00164A9A">
              <w:rPr>
                <w:bCs/>
                <w:sz w:val="19"/>
              </w:rPr>
              <w:t>0.0703 (7.0%)</w:t>
            </w:r>
          </w:p>
        </w:tc>
      </w:tr>
      <w:tr w:rsidR="00320370" w:rsidRPr="00164A9A" w14:paraId="69487B08" w14:textId="77777777">
        <w:trPr>
          <w:jc w:val="center"/>
        </w:trPr>
        <w:tc>
          <w:tcPr>
            <w:tcW w:w="1872" w:type="dxa"/>
            <w:shd w:val="clear" w:color="auto" w:fill="FFFFFF"/>
            <w:tcMar>
              <w:top w:w="100" w:type="dxa"/>
              <w:left w:w="120" w:type="dxa"/>
              <w:bottom w:w="100" w:type="dxa"/>
              <w:right w:w="120" w:type="dxa"/>
            </w:tcMar>
          </w:tcPr>
          <w:p w14:paraId="2FCC14A7" w14:textId="77777777" w:rsidR="00320370" w:rsidRPr="00164A9A" w:rsidRDefault="00000000">
            <w:pPr>
              <w:rPr>
                <w:bCs/>
              </w:rPr>
            </w:pPr>
            <w:r w:rsidRPr="00164A9A">
              <w:rPr>
                <w:bCs/>
                <w:sz w:val="19"/>
              </w:rPr>
              <w:t>Functional connectivity / synchrony</w:t>
            </w:r>
          </w:p>
        </w:tc>
        <w:tc>
          <w:tcPr>
            <w:tcW w:w="1872" w:type="dxa"/>
            <w:shd w:val="clear" w:color="auto" w:fill="FFFFFF"/>
            <w:tcMar>
              <w:top w:w="100" w:type="dxa"/>
              <w:left w:w="120" w:type="dxa"/>
              <w:bottom w:w="100" w:type="dxa"/>
              <w:right w:w="120" w:type="dxa"/>
            </w:tcMar>
          </w:tcPr>
          <w:p w14:paraId="43412388" w14:textId="77777777" w:rsidR="00320370" w:rsidRPr="00164A9A" w:rsidRDefault="00000000">
            <w:pPr>
              <w:jc w:val="right"/>
              <w:rPr>
                <w:bCs/>
              </w:rPr>
            </w:pPr>
            <w:r w:rsidRPr="00164A9A">
              <w:rPr>
                <w:bCs/>
                <w:sz w:val="19"/>
              </w:rPr>
              <w:t>361</w:t>
            </w:r>
          </w:p>
        </w:tc>
        <w:tc>
          <w:tcPr>
            <w:tcW w:w="1872" w:type="dxa"/>
            <w:shd w:val="clear" w:color="auto" w:fill="FFFFFF"/>
            <w:tcMar>
              <w:top w:w="100" w:type="dxa"/>
              <w:left w:w="120" w:type="dxa"/>
              <w:bottom w:w="100" w:type="dxa"/>
              <w:right w:w="120" w:type="dxa"/>
            </w:tcMar>
          </w:tcPr>
          <w:p w14:paraId="34FD0295" w14:textId="77777777" w:rsidR="00320370" w:rsidRPr="00164A9A" w:rsidRDefault="00000000">
            <w:pPr>
              <w:jc w:val="right"/>
              <w:rPr>
                <w:bCs/>
              </w:rPr>
            </w:pPr>
            <w:r w:rsidRPr="00164A9A">
              <w:rPr>
                <w:bCs/>
                <w:sz w:val="19"/>
              </w:rPr>
              <w:t>0.0239 (2.4%)</w:t>
            </w:r>
          </w:p>
        </w:tc>
        <w:tc>
          <w:tcPr>
            <w:tcW w:w="1872" w:type="dxa"/>
            <w:shd w:val="clear" w:color="auto" w:fill="FFFFFF"/>
            <w:tcMar>
              <w:top w:w="100" w:type="dxa"/>
              <w:left w:w="120" w:type="dxa"/>
              <w:bottom w:w="100" w:type="dxa"/>
              <w:right w:w="120" w:type="dxa"/>
            </w:tcMar>
          </w:tcPr>
          <w:p w14:paraId="6958D05D" w14:textId="77777777" w:rsidR="00320370" w:rsidRPr="00164A9A" w:rsidRDefault="00000000">
            <w:pPr>
              <w:jc w:val="right"/>
              <w:rPr>
                <w:bCs/>
              </w:rPr>
            </w:pPr>
            <w:r w:rsidRPr="00164A9A">
              <w:rPr>
                <w:bCs/>
                <w:sz w:val="19"/>
              </w:rPr>
              <w:t>4096</w:t>
            </w:r>
          </w:p>
        </w:tc>
        <w:tc>
          <w:tcPr>
            <w:tcW w:w="1872" w:type="dxa"/>
            <w:shd w:val="clear" w:color="auto" w:fill="FFFFFF"/>
            <w:tcMar>
              <w:top w:w="100" w:type="dxa"/>
              <w:left w:w="120" w:type="dxa"/>
              <w:bottom w:w="100" w:type="dxa"/>
              <w:right w:w="120" w:type="dxa"/>
            </w:tcMar>
          </w:tcPr>
          <w:p w14:paraId="0F3E6F82" w14:textId="77777777" w:rsidR="00320370" w:rsidRPr="00164A9A" w:rsidRDefault="00000000">
            <w:pPr>
              <w:jc w:val="right"/>
              <w:rPr>
                <w:bCs/>
              </w:rPr>
            </w:pPr>
            <w:r w:rsidRPr="00164A9A">
              <w:rPr>
                <w:bCs/>
                <w:sz w:val="19"/>
              </w:rPr>
              <w:t>0.0319 (3.2%)</w:t>
            </w:r>
          </w:p>
        </w:tc>
      </w:tr>
    </w:tbl>
    <w:p w14:paraId="1CA4D393" w14:textId="77777777" w:rsidR="00320370" w:rsidRPr="00164A9A" w:rsidRDefault="00000000">
      <w:pPr>
        <w:keepNext/>
        <w:spacing w:before="240" w:after="80"/>
        <w:rPr>
          <w:bCs/>
        </w:rPr>
      </w:pPr>
      <w:r w:rsidRPr="00164A9A">
        <w:rPr>
          <w:bCs/>
          <w:color w:val="5A5A5A"/>
          <w:sz w:val="23"/>
        </w:rPr>
        <w:t>Physiological Commonalities in Feature Importance:</w:t>
      </w:r>
    </w:p>
    <w:p w14:paraId="7A5576EE" w14:textId="77777777" w:rsidR="00320370" w:rsidRPr="00164A9A" w:rsidRDefault="00000000">
      <w:pPr>
        <w:pStyle w:val="ListBullet"/>
        <w:spacing w:after="80"/>
        <w:rPr>
          <w:bCs/>
        </w:rPr>
      </w:pPr>
      <w:r w:rsidRPr="00164A9A">
        <w:rPr>
          <w:bCs/>
        </w:rPr>
        <w:t>Universal Spectral Primacy: Band-power is the primary feature category in both datasets (~50.4% in D1, ~41.5% in D2), showing that power spectra shifts are universal correlates of mind-wandering.</w:t>
      </w:r>
    </w:p>
    <w:p w14:paraId="3BC08212" w14:textId="77777777" w:rsidR="00320370" w:rsidRPr="00164A9A" w:rsidRDefault="00000000">
      <w:pPr>
        <w:pStyle w:val="ListBullet"/>
        <w:spacing w:after="80"/>
        <w:rPr>
          <w:bCs/>
        </w:rPr>
      </w:pPr>
      <w:r w:rsidRPr="00164A9A">
        <w:rPr>
          <w:bCs/>
        </w:rPr>
        <w:t>Connectivity Redundancy: Phase-based synchrony (Phase Locking Value) shows extremely low importance in both datasets (2.39% in D1, 3.19% in D2) despite having by far the largest feature count (361 features in D1, 4096 features in D2). This shows that phase synchronization across remote electrodes is highly redundant or uninformative for classification, indicating that mind-wandering is characterized by localized spectral and amplitude changes rather than shifts in functional phase-locking networks.</w:t>
      </w:r>
    </w:p>
    <w:p w14:paraId="634ABEE2" w14:textId="77777777" w:rsidR="00320370" w:rsidRPr="00164A9A" w:rsidRDefault="00000000">
      <w:pPr>
        <w:pStyle w:val="ListBullet"/>
        <w:spacing w:after="80"/>
        <w:rPr>
          <w:bCs/>
        </w:rPr>
      </w:pPr>
      <w:r w:rsidRPr="00164A9A">
        <w:rPr>
          <w:bCs/>
        </w:rPr>
        <w:t>High Information Density of Hjorth Features: Hjorth features (Activity, Mobility, Complexity) consistently represent a highly dense and informative feature category across both studies. In Dataset 1, they carry the highest mean importance per feature (0.0071), and they remain highly predictive in Dataset 2 (mean 0.00055), showing that localized signal complexity and speed of change are robust markers.</w:t>
      </w:r>
    </w:p>
    <w:p w14:paraId="4589D5D8" w14:textId="77777777" w:rsidR="00320370" w:rsidRPr="00164A9A" w:rsidRDefault="00000000">
      <w:pPr>
        <w:keepNext/>
        <w:pBdr>
          <w:bottom w:val="single" w:sz="6" w:space="4" w:color="003366"/>
        </w:pBdr>
        <w:spacing w:before="360"/>
        <w:rPr>
          <w:bCs/>
        </w:rPr>
      </w:pPr>
      <w:r w:rsidRPr="00164A9A">
        <w:rPr>
          <w:bCs/>
          <w:color w:val="003366"/>
          <w:sz w:val="28"/>
        </w:rPr>
        <w:t>3. Consistent Spectral Behaviors (Beta Band)</w:t>
      </w:r>
    </w:p>
    <w:p w14:paraId="53DD8EF7" w14:textId="77777777" w:rsidR="00320370" w:rsidRDefault="00000000">
      <w:pPr>
        <w:rPr>
          <w:bCs/>
        </w:rPr>
      </w:pPr>
      <w:r w:rsidRPr="00164A9A">
        <w:rPr>
          <w:bCs/>
        </w:rPr>
        <w:t xml:space="preserve">In the clustered linear regression models, the Beta band shows a consistent, non-significant negative difference between mind-wandering and focus states across both datasets. This indicates that Beta </w:t>
      </w:r>
      <w:r w:rsidRPr="00164A9A">
        <w:rPr>
          <w:bCs/>
        </w:rPr>
        <w:lastRenderedPageBreak/>
        <w:t>power does not undergo any significant overall mean shift when transitioning between task focus and mind-wandering in either task context.</w:t>
      </w:r>
    </w:p>
    <w:p w14:paraId="60FB771A" w14:textId="77777777" w:rsidR="00164A9A" w:rsidRPr="00164A9A" w:rsidRDefault="00164A9A" w:rsidP="00164A9A">
      <w:pPr>
        <w:rPr>
          <w:bCs/>
          <w:lang w:val="en-IN"/>
        </w:rPr>
      </w:pPr>
      <w:r w:rsidRPr="00164A9A">
        <w:rPr>
          <w:b/>
          <w:lang w:val="en-IN"/>
        </w:rPr>
        <w:t>PHYSIOLOGICAL CORRELATION</w:t>
      </w:r>
      <w:r w:rsidRPr="00164A9A">
        <w:rPr>
          <w:bCs/>
          <w:lang w:val="en-IN"/>
        </w:rPr>
        <w:t>: Beta oscillations (13-30 Hz) are typically associated with active sensorimotor processing and focus. The negative direction of the estimate is consistent across both datasets (-0.0494 in D1 and -0.0094 in D2), but the results are not statistically significant. This suggests that Beta power does not serve as a reliable standalone indicator of state shifts between focus and mind-wandering.</w:t>
      </w:r>
    </w:p>
    <w:p w14:paraId="0E10B622" w14:textId="77777777" w:rsidR="00164A9A" w:rsidRPr="00164A9A" w:rsidRDefault="00164A9A">
      <w:pPr>
        <w:rPr>
          <w:bCs/>
        </w:rPr>
      </w:pPr>
    </w:p>
    <w:tbl>
      <w:tblPr>
        <w:tblW w:w="0" w:type="auto"/>
        <w:jc w:val="center"/>
        <w:tblBorders>
          <w:top w:val="single" w:sz="4" w:space="0" w:color="D3D3D3"/>
          <w:bottom w:val="single" w:sz="6" w:space="0" w:color="808080"/>
          <w:insideH w:val="single" w:sz="4" w:space="0" w:color="E0E0E0"/>
        </w:tblBorders>
        <w:tblLook w:val="04A0" w:firstRow="1" w:lastRow="0" w:firstColumn="1" w:lastColumn="0" w:noHBand="0" w:noVBand="1"/>
      </w:tblPr>
      <w:tblGrid>
        <w:gridCol w:w="1337"/>
        <w:gridCol w:w="1337"/>
        <w:gridCol w:w="1337"/>
        <w:gridCol w:w="1337"/>
        <w:gridCol w:w="1337"/>
        <w:gridCol w:w="1337"/>
        <w:gridCol w:w="1396"/>
      </w:tblGrid>
      <w:tr w:rsidR="00320370" w:rsidRPr="00164A9A" w14:paraId="298C39EA" w14:textId="77777777">
        <w:trPr>
          <w:jc w:val="center"/>
        </w:trPr>
        <w:tc>
          <w:tcPr>
            <w:tcW w:w="1337" w:type="dxa"/>
            <w:shd w:val="clear" w:color="auto" w:fill="003366"/>
            <w:tcMar>
              <w:top w:w="140" w:type="dxa"/>
              <w:left w:w="150" w:type="dxa"/>
              <w:bottom w:w="140" w:type="dxa"/>
              <w:right w:w="150" w:type="dxa"/>
            </w:tcMar>
          </w:tcPr>
          <w:p w14:paraId="75C28F37" w14:textId="77777777" w:rsidR="00320370" w:rsidRPr="00164A9A" w:rsidRDefault="00000000">
            <w:pPr>
              <w:jc w:val="center"/>
              <w:rPr>
                <w:bCs/>
              </w:rPr>
            </w:pPr>
            <w:r w:rsidRPr="00164A9A">
              <w:rPr>
                <w:bCs/>
                <w:color w:val="FFFFFF"/>
                <w:sz w:val="21"/>
              </w:rPr>
              <w:t>Band</w:t>
            </w:r>
          </w:p>
        </w:tc>
        <w:tc>
          <w:tcPr>
            <w:tcW w:w="1337" w:type="dxa"/>
            <w:shd w:val="clear" w:color="auto" w:fill="003366"/>
            <w:tcMar>
              <w:top w:w="140" w:type="dxa"/>
              <w:left w:w="150" w:type="dxa"/>
              <w:bottom w:w="140" w:type="dxa"/>
              <w:right w:w="150" w:type="dxa"/>
            </w:tcMar>
          </w:tcPr>
          <w:p w14:paraId="43FD29FD" w14:textId="77777777" w:rsidR="00320370" w:rsidRPr="00164A9A" w:rsidRDefault="00000000">
            <w:pPr>
              <w:jc w:val="center"/>
              <w:rPr>
                <w:bCs/>
              </w:rPr>
            </w:pPr>
            <w:r w:rsidRPr="00164A9A">
              <w:rPr>
                <w:bCs/>
                <w:color w:val="FFFFFF"/>
                <w:sz w:val="21"/>
              </w:rPr>
              <w:t>Dataset &amp; Analysis</w:t>
            </w:r>
          </w:p>
        </w:tc>
        <w:tc>
          <w:tcPr>
            <w:tcW w:w="1337" w:type="dxa"/>
            <w:shd w:val="clear" w:color="auto" w:fill="003366"/>
            <w:tcMar>
              <w:top w:w="140" w:type="dxa"/>
              <w:left w:w="150" w:type="dxa"/>
              <w:bottom w:w="140" w:type="dxa"/>
              <w:right w:w="150" w:type="dxa"/>
            </w:tcMar>
          </w:tcPr>
          <w:p w14:paraId="6240B63C" w14:textId="77777777" w:rsidR="00320370" w:rsidRPr="00164A9A" w:rsidRDefault="00000000">
            <w:pPr>
              <w:jc w:val="center"/>
              <w:rPr>
                <w:bCs/>
              </w:rPr>
            </w:pPr>
            <w:r w:rsidRPr="00164A9A">
              <w:rPr>
                <w:bCs/>
                <w:color w:val="FFFFFF"/>
                <w:sz w:val="21"/>
              </w:rPr>
              <w:t>Estimate</w:t>
            </w:r>
          </w:p>
        </w:tc>
        <w:tc>
          <w:tcPr>
            <w:tcW w:w="1337" w:type="dxa"/>
            <w:shd w:val="clear" w:color="auto" w:fill="003366"/>
            <w:tcMar>
              <w:top w:w="140" w:type="dxa"/>
              <w:left w:w="150" w:type="dxa"/>
              <w:bottom w:w="140" w:type="dxa"/>
              <w:right w:w="150" w:type="dxa"/>
            </w:tcMar>
          </w:tcPr>
          <w:p w14:paraId="679C0824" w14:textId="77777777" w:rsidR="00320370" w:rsidRPr="00164A9A" w:rsidRDefault="00000000">
            <w:pPr>
              <w:jc w:val="center"/>
              <w:rPr>
                <w:bCs/>
              </w:rPr>
            </w:pPr>
            <w:r w:rsidRPr="00164A9A">
              <w:rPr>
                <w:bCs/>
                <w:color w:val="FFFFFF"/>
                <w:sz w:val="21"/>
              </w:rPr>
              <w:t>SE</w:t>
            </w:r>
          </w:p>
        </w:tc>
        <w:tc>
          <w:tcPr>
            <w:tcW w:w="1337" w:type="dxa"/>
            <w:shd w:val="clear" w:color="auto" w:fill="003366"/>
            <w:tcMar>
              <w:top w:w="140" w:type="dxa"/>
              <w:left w:w="150" w:type="dxa"/>
              <w:bottom w:w="140" w:type="dxa"/>
              <w:right w:w="150" w:type="dxa"/>
            </w:tcMar>
          </w:tcPr>
          <w:p w14:paraId="67F13FF1" w14:textId="77777777" w:rsidR="00320370" w:rsidRPr="00164A9A" w:rsidRDefault="00000000">
            <w:pPr>
              <w:jc w:val="center"/>
              <w:rPr>
                <w:bCs/>
              </w:rPr>
            </w:pPr>
            <w:r w:rsidRPr="00164A9A">
              <w:rPr>
                <w:bCs/>
                <w:color w:val="FFFFFF"/>
                <w:sz w:val="21"/>
              </w:rPr>
              <w:t>z-value</w:t>
            </w:r>
          </w:p>
        </w:tc>
        <w:tc>
          <w:tcPr>
            <w:tcW w:w="1337" w:type="dxa"/>
            <w:shd w:val="clear" w:color="auto" w:fill="003366"/>
            <w:tcMar>
              <w:top w:w="140" w:type="dxa"/>
              <w:left w:w="150" w:type="dxa"/>
              <w:bottom w:w="140" w:type="dxa"/>
              <w:right w:w="150" w:type="dxa"/>
            </w:tcMar>
          </w:tcPr>
          <w:p w14:paraId="2D2EEBD9" w14:textId="77777777" w:rsidR="00320370" w:rsidRPr="00164A9A" w:rsidRDefault="00000000">
            <w:pPr>
              <w:jc w:val="center"/>
              <w:rPr>
                <w:bCs/>
              </w:rPr>
            </w:pPr>
            <w:r w:rsidRPr="00164A9A">
              <w:rPr>
                <w:bCs/>
                <w:color w:val="FFFFFF"/>
                <w:sz w:val="21"/>
              </w:rPr>
              <w:t>p-value</w:t>
            </w:r>
          </w:p>
        </w:tc>
        <w:tc>
          <w:tcPr>
            <w:tcW w:w="1337" w:type="dxa"/>
            <w:shd w:val="clear" w:color="auto" w:fill="003366"/>
            <w:tcMar>
              <w:top w:w="140" w:type="dxa"/>
              <w:left w:w="150" w:type="dxa"/>
              <w:bottom w:w="140" w:type="dxa"/>
              <w:right w:w="150" w:type="dxa"/>
            </w:tcMar>
          </w:tcPr>
          <w:p w14:paraId="7C1AC1DD" w14:textId="77777777" w:rsidR="00320370" w:rsidRPr="00164A9A" w:rsidRDefault="00000000">
            <w:pPr>
              <w:jc w:val="center"/>
              <w:rPr>
                <w:bCs/>
              </w:rPr>
            </w:pPr>
            <w:r w:rsidRPr="00164A9A">
              <w:rPr>
                <w:bCs/>
                <w:color w:val="FFFFFF"/>
                <w:sz w:val="21"/>
              </w:rPr>
              <w:t>Decision (Alpha=0.05)</w:t>
            </w:r>
          </w:p>
        </w:tc>
      </w:tr>
      <w:tr w:rsidR="00320370" w:rsidRPr="00164A9A" w14:paraId="49632621" w14:textId="77777777">
        <w:trPr>
          <w:jc w:val="center"/>
        </w:trPr>
        <w:tc>
          <w:tcPr>
            <w:tcW w:w="1337" w:type="dxa"/>
            <w:shd w:val="clear" w:color="auto" w:fill="FFFFFF"/>
            <w:tcMar>
              <w:top w:w="100" w:type="dxa"/>
              <w:left w:w="120" w:type="dxa"/>
              <w:bottom w:w="100" w:type="dxa"/>
              <w:right w:w="120" w:type="dxa"/>
            </w:tcMar>
          </w:tcPr>
          <w:p w14:paraId="03969EF4" w14:textId="77777777" w:rsidR="00320370" w:rsidRPr="00164A9A" w:rsidRDefault="00000000">
            <w:pPr>
              <w:rPr>
                <w:bCs/>
              </w:rPr>
            </w:pPr>
            <w:r w:rsidRPr="00164A9A">
              <w:rPr>
                <w:bCs/>
                <w:sz w:val="19"/>
              </w:rPr>
              <w:t>Beta</w:t>
            </w:r>
          </w:p>
        </w:tc>
        <w:tc>
          <w:tcPr>
            <w:tcW w:w="1337" w:type="dxa"/>
            <w:shd w:val="clear" w:color="auto" w:fill="FFFFFF"/>
            <w:tcMar>
              <w:top w:w="100" w:type="dxa"/>
              <w:left w:w="120" w:type="dxa"/>
              <w:bottom w:w="100" w:type="dxa"/>
              <w:right w:w="120" w:type="dxa"/>
            </w:tcMar>
          </w:tcPr>
          <w:p w14:paraId="445C9B0E" w14:textId="77777777" w:rsidR="00320370" w:rsidRPr="00164A9A" w:rsidRDefault="00000000">
            <w:pPr>
              <w:rPr>
                <w:bCs/>
              </w:rPr>
            </w:pPr>
            <w:r w:rsidRPr="00164A9A">
              <w:rPr>
                <w:bCs/>
                <w:sz w:val="19"/>
              </w:rPr>
              <w:t>D1: MW minus Focus Mean Power</w:t>
            </w:r>
          </w:p>
        </w:tc>
        <w:tc>
          <w:tcPr>
            <w:tcW w:w="1337" w:type="dxa"/>
            <w:shd w:val="clear" w:color="auto" w:fill="FFFFFF"/>
            <w:tcMar>
              <w:top w:w="100" w:type="dxa"/>
              <w:left w:w="120" w:type="dxa"/>
              <w:bottom w:w="100" w:type="dxa"/>
              <w:right w:w="120" w:type="dxa"/>
            </w:tcMar>
          </w:tcPr>
          <w:p w14:paraId="2FB54C91" w14:textId="77777777" w:rsidR="00320370" w:rsidRPr="00164A9A" w:rsidRDefault="00000000">
            <w:pPr>
              <w:jc w:val="right"/>
              <w:rPr>
                <w:bCs/>
              </w:rPr>
            </w:pPr>
            <w:r w:rsidRPr="00164A9A">
              <w:rPr>
                <w:bCs/>
                <w:sz w:val="19"/>
              </w:rPr>
              <w:t>-0.0494</w:t>
            </w:r>
          </w:p>
        </w:tc>
        <w:tc>
          <w:tcPr>
            <w:tcW w:w="1337" w:type="dxa"/>
            <w:shd w:val="clear" w:color="auto" w:fill="FFFFFF"/>
            <w:tcMar>
              <w:top w:w="100" w:type="dxa"/>
              <w:left w:w="120" w:type="dxa"/>
              <w:bottom w:w="100" w:type="dxa"/>
              <w:right w:w="120" w:type="dxa"/>
            </w:tcMar>
          </w:tcPr>
          <w:p w14:paraId="59472067" w14:textId="77777777" w:rsidR="00320370" w:rsidRPr="00164A9A" w:rsidRDefault="00000000">
            <w:pPr>
              <w:jc w:val="right"/>
              <w:rPr>
                <w:bCs/>
              </w:rPr>
            </w:pPr>
            <w:r w:rsidRPr="00164A9A">
              <w:rPr>
                <w:bCs/>
                <w:sz w:val="19"/>
              </w:rPr>
              <w:t>0.0646</w:t>
            </w:r>
          </w:p>
        </w:tc>
        <w:tc>
          <w:tcPr>
            <w:tcW w:w="1337" w:type="dxa"/>
            <w:shd w:val="clear" w:color="auto" w:fill="FFFFFF"/>
            <w:tcMar>
              <w:top w:w="100" w:type="dxa"/>
              <w:left w:w="120" w:type="dxa"/>
              <w:bottom w:w="100" w:type="dxa"/>
              <w:right w:w="120" w:type="dxa"/>
            </w:tcMar>
          </w:tcPr>
          <w:p w14:paraId="18B3056F" w14:textId="77777777" w:rsidR="00320370" w:rsidRPr="00164A9A" w:rsidRDefault="00000000">
            <w:pPr>
              <w:jc w:val="right"/>
              <w:rPr>
                <w:bCs/>
              </w:rPr>
            </w:pPr>
            <w:r w:rsidRPr="00164A9A">
              <w:rPr>
                <w:bCs/>
                <w:sz w:val="19"/>
              </w:rPr>
              <w:t>-0.765</w:t>
            </w:r>
          </w:p>
        </w:tc>
        <w:tc>
          <w:tcPr>
            <w:tcW w:w="1337" w:type="dxa"/>
            <w:shd w:val="clear" w:color="auto" w:fill="FFFFFF"/>
            <w:tcMar>
              <w:top w:w="100" w:type="dxa"/>
              <w:left w:w="120" w:type="dxa"/>
              <w:bottom w:w="100" w:type="dxa"/>
              <w:right w:w="120" w:type="dxa"/>
            </w:tcMar>
          </w:tcPr>
          <w:p w14:paraId="26E42A06" w14:textId="77777777" w:rsidR="00320370" w:rsidRPr="00164A9A" w:rsidRDefault="00000000">
            <w:pPr>
              <w:jc w:val="right"/>
              <w:rPr>
                <w:bCs/>
              </w:rPr>
            </w:pPr>
            <w:r w:rsidRPr="00164A9A">
              <w:rPr>
                <w:bCs/>
                <w:sz w:val="19"/>
              </w:rPr>
              <w:t>0.4445</w:t>
            </w:r>
          </w:p>
        </w:tc>
        <w:tc>
          <w:tcPr>
            <w:tcW w:w="1337" w:type="dxa"/>
            <w:shd w:val="clear" w:color="auto" w:fill="FFFFFF"/>
            <w:tcMar>
              <w:top w:w="100" w:type="dxa"/>
              <w:left w:w="120" w:type="dxa"/>
              <w:bottom w:w="100" w:type="dxa"/>
              <w:right w:w="120" w:type="dxa"/>
            </w:tcMar>
          </w:tcPr>
          <w:p w14:paraId="1A2CF296" w14:textId="77777777" w:rsidR="00320370" w:rsidRPr="00164A9A" w:rsidRDefault="00000000">
            <w:pPr>
              <w:rPr>
                <w:bCs/>
              </w:rPr>
            </w:pPr>
            <w:r w:rsidRPr="00164A9A">
              <w:rPr>
                <w:bCs/>
                <w:sz w:val="19"/>
              </w:rPr>
              <w:t>Not statistically significant</w:t>
            </w:r>
          </w:p>
        </w:tc>
      </w:tr>
      <w:tr w:rsidR="00320370" w:rsidRPr="00164A9A" w14:paraId="3B68C340" w14:textId="77777777">
        <w:trPr>
          <w:jc w:val="center"/>
        </w:trPr>
        <w:tc>
          <w:tcPr>
            <w:tcW w:w="1337" w:type="dxa"/>
            <w:shd w:val="clear" w:color="auto" w:fill="F9F9F9"/>
            <w:tcMar>
              <w:top w:w="100" w:type="dxa"/>
              <w:left w:w="120" w:type="dxa"/>
              <w:bottom w:w="100" w:type="dxa"/>
              <w:right w:w="120" w:type="dxa"/>
            </w:tcMar>
          </w:tcPr>
          <w:p w14:paraId="7BBA9E52" w14:textId="77777777" w:rsidR="00320370" w:rsidRPr="00164A9A" w:rsidRDefault="00000000">
            <w:pPr>
              <w:rPr>
                <w:bCs/>
              </w:rPr>
            </w:pPr>
            <w:r w:rsidRPr="00164A9A">
              <w:rPr>
                <w:bCs/>
                <w:sz w:val="19"/>
              </w:rPr>
              <w:t>Beta</w:t>
            </w:r>
          </w:p>
        </w:tc>
        <w:tc>
          <w:tcPr>
            <w:tcW w:w="1337" w:type="dxa"/>
            <w:shd w:val="clear" w:color="auto" w:fill="F9F9F9"/>
            <w:tcMar>
              <w:top w:w="100" w:type="dxa"/>
              <w:left w:w="120" w:type="dxa"/>
              <w:bottom w:w="100" w:type="dxa"/>
              <w:right w:w="120" w:type="dxa"/>
            </w:tcMar>
          </w:tcPr>
          <w:p w14:paraId="4158A3EE" w14:textId="77777777" w:rsidR="00320370" w:rsidRPr="00164A9A" w:rsidRDefault="00000000">
            <w:pPr>
              <w:rPr>
                <w:bCs/>
              </w:rPr>
            </w:pPr>
            <w:r w:rsidRPr="00164A9A">
              <w:rPr>
                <w:bCs/>
                <w:sz w:val="19"/>
              </w:rPr>
              <w:t>D2: MW minus Focus Mean Power</w:t>
            </w:r>
          </w:p>
        </w:tc>
        <w:tc>
          <w:tcPr>
            <w:tcW w:w="1337" w:type="dxa"/>
            <w:shd w:val="clear" w:color="auto" w:fill="F9F9F9"/>
            <w:tcMar>
              <w:top w:w="100" w:type="dxa"/>
              <w:left w:w="120" w:type="dxa"/>
              <w:bottom w:w="100" w:type="dxa"/>
              <w:right w:w="120" w:type="dxa"/>
            </w:tcMar>
          </w:tcPr>
          <w:p w14:paraId="0095A9EC" w14:textId="77777777" w:rsidR="00320370" w:rsidRPr="00164A9A" w:rsidRDefault="00000000">
            <w:pPr>
              <w:jc w:val="right"/>
              <w:rPr>
                <w:bCs/>
              </w:rPr>
            </w:pPr>
            <w:r w:rsidRPr="00164A9A">
              <w:rPr>
                <w:bCs/>
                <w:sz w:val="19"/>
              </w:rPr>
              <w:t>-0.0094</w:t>
            </w:r>
          </w:p>
        </w:tc>
        <w:tc>
          <w:tcPr>
            <w:tcW w:w="1337" w:type="dxa"/>
            <w:shd w:val="clear" w:color="auto" w:fill="F9F9F9"/>
            <w:tcMar>
              <w:top w:w="100" w:type="dxa"/>
              <w:left w:w="120" w:type="dxa"/>
              <w:bottom w:w="100" w:type="dxa"/>
              <w:right w:w="120" w:type="dxa"/>
            </w:tcMar>
          </w:tcPr>
          <w:p w14:paraId="08A468A7" w14:textId="77777777" w:rsidR="00320370" w:rsidRPr="00164A9A" w:rsidRDefault="00000000">
            <w:pPr>
              <w:jc w:val="right"/>
              <w:rPr>
                <w:bCs/>
              </w:rPr>
            </w:pPr>
            <w:r w:rsidRPr="00164A9A">
              <w:rPr>
                <w:bCs/>
                <w:sz w:val="19"/>
              </w:rPr>
              <w:t>0.0173</w:t>
            </w:r>
          </w:p>
        </w:tc>
        <w:tc>
          <w:tcPr>
            <w:tcW w:w="1337" w:type="dxa"/>
            <w:shd w:val="clear" w:color="auto" w:fill="F9F9F9"/>
            <w:tcMar>
              <w:top w:w="100" w:type="dxa"/>
              <w:left w:w="120" w:type="dxa"/>
              <w:bottom w:w="100" w:type="dxa"/>
              <w:right w:w="120" w:type="dxa"/>
            </w:tcMar>
          </w:tcPr>
          <w:p w14:paraId="264F7EB3" w14:textId="77777777" w:rsidR="00320370" w:rsidRPr="00164A9A" w:rsidRDefault="00000000">
            <w:pPr>
              <w:jc w:val="right"/>
              <w:rPr>
                <w:bCs/>
              </w:rPr>
            </w:pPr>
            <w:r w:rsidRPr="00164A9A">
              <w:rPr>
                <w:bCs/>
                <w:sz w:val="19"/>
              </w:rPr>
              <w:t>-0.546</w:t>
            </w:r>
          </w:p>
        </w:tc>
        <w:tc>
          <w:tcPr>
            <w:tcW w:w="1337" w:type="dxa"/>
            <w:shd w:val="clear" w:color="auto" w:fill="F9F9F9"/>
            <w:tcMar>
              <w:top w:w="100" w:type="dxa"/>
              <w:left w:w="120" w:type="dxa"/>
              <w:bottom w:w="100" w:type="dxa"/>
              <w:right w:w="120" w:type="dxa"/>
            </w:tcMar>
          </w:tcPr>
          <w:p w14:paraId="52BC6890" w14:textId="77777777" w:rsidR="00320370" w:rsidRPr="00164A9A" w:rsidRDefault="00000000">
            <w:pPr>
              <w:jc w:val="right"/>
              <w:rPr>
                <w:bCs/>
              </w:rPr>
            </w:pPr>
            <w:r w:rsidRPr="00164A9A">
              <w:rPr>
                <w:bCs/>
                <w:sz w:val="19"/>
              </w:rPr>
              <w:t>0.5852</w:t>
            </w:r>
          </w:p>
        </w:tc>
        <w:tc>
          <w:tcPr>
            <w:tcW w:w="1337" w:type="dxa"/>
            <w:shd w:val="clear" w:color="auto" w:fill="F9F9F9"/>
            <w:tcMar>
              <w:top w:w="100" w:type="dxa"/>
              <w:left w:w="120" w:type="dxa"/>
              <w:bottom w:w="100" w:type="dxa"/>
              <w:right w:w="120" w:type="dxa"/>
            </w:tcMar>
          </w:tcPr>
          <w:p w14:paraId="2104421B" w14:textId="77777777" w:rsidR="00320370" w:rsidRPr="00164A9A" w:rsidRDefault="00000000">
            <w:pPr>
              <w:rPr>
                <w:bCs/>
              </w:rPr>
            </w:pPr>
            <w:r w:rsidRPr="00164A9A">
              <w:rPr>
                <w:bCs/>
                <w:sz w:val="19"/>
              </w:rPr>
              <w:t>Not statistically significant</w:t>
            </w:r>
          </w:p>
        </w:tc>
      </w:tr>
    </w:tbl>
    <w:p w14:paraId="3D1745FE" w14:textId="0DBB2499" w:rsidR="00320370" w:rsidRPr="00164A9A" w:rsidRDefault="00320370" w:rsidP="00164A9A">
      <w:pPr>
        <w:pBdr>
          <w:left w:val="single" w:sz="24" w:space="0" w:color="003366"/>
        </w:pBdr>
        <w:shd w:val="clear" w:color="auto" w:fill="F0F4F8"/>
        <w:spacing w:before="160" w:after="160"/>
        <w:ind w:right="576"/>
        <w:rPr>
          <w:bCs/>
        </w:rPr>
      </w:pPr>
    </w:p>
    <w:sectPr w:rsidR="00320370" w:rsidRPr="00164A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595194">
    <w:abstractNumId w:val="8"/>
  </w:num>
  <w:num w:numId="2" w16cid:durableId="1004554484">
    <w:abstractNumId w:val="6"/>
  </w:num>
  <w:num w:numId="3" w16cid:durableId="1805851605">
    <w:abstractNumId w:val="5"/>
  </w:num>
  <w:num w:numId="4" w16cid:durableId="761874551">
    <w:abstractNumId w:val="4"/>
  </w:num>
  <w:num w:numId="5" w16cid:durableId="1505391613">
    <w:abstractNumId w:val="7"/>
  </w:num>
  <w:num w:numId="6" w16cid:durableId="1568151351">
    <w:abstractNumId w:val="3"/>
  </w:num>
  <w:num w:numId="7" w16cid:durableId="1902592734">
    <w:abstractNumId w:val="2"/>
  </w:num>
  <w:num w:numId="8" w16cid:durableId="1028991436">
    <w:abstractNumId w:val="1"/>
  </w:num>
  <w:num w:numId="9" w16cid:durableId="509607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714"/>
    <w:rsid w:val="0015074B"/>
    <w:rsid w:val="00164A9A"/>
    <w:rsid w:val="0029639D"/>
    <w:rsid w:val="00320370"/>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9BE2A"/>
  <w14:defaultImageDpi w14:val="300"/>
  <w15:docId w15:val="{9C4419E2-C96F-44D3-91B0-01F0555BC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Rishwanth J V K</cp:lastModifiedBy>
  <cp:revision>2</cp:revision>
  <dcterms:created xsi:type="dcterms:W3CDTF">2013-12-23T23:15:00Z</dcterms:created>
  <dcterms:modified xsi:type="dcterms:W3CDTF">2026-08-26T11:46:00Z</dcterms:modified>
  <cp:category/>
</cp:coreProperties>
</file>