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BE9D4" w14:textId="77777777" w:rsidR="00F86FEF" w:rsidRDefault="00000000">
      <w:pPr>
        <w:spacing w:before="240" w:after="240"/>
        <w:jc w:val="center"/>
      </w:pPr>
      <w:r>
        <w:rPr>
          <w:rFonts w:ascii="Arial" w:hAnsi="Arial"/>
          <w:b/>
          <w:color w:val="000000"/>
          <w:sz w:val="30"/>
        </w:rPr>
        <w:t>EXECUTIVE SUMMARY: EEG MIND-WANDERING ABLATION ANALYSIS</w:t>
      </w:r>
      <w:r>
        <w:rPr>
          <w:rFonts w:ascii="Arial" w:hAnsi="Arial"/>
          <w:b/>
          <w:color w:val="000000"/>
          <w:sz w:val="30"/>
        </w:rPr>
        <w:br/>
      </w:r>
    </w:p>
    <w:p w14:paraId="13967097" w14:textId="77777777" w:rsidR="00F86FEF" w:rsidRDefault="00000000">
      <w:pPr>
        <w:pStyle w:val="Heading1"/>
        <w:spacing w:before="160" w:after="80"/>
      </w:pPr>
      <w:r>
        <w:rPr>
          <w:rFonts w:ascii="Arial" w:hAnsi="Arial"/>
          <w:color w:val="000000"/>
        </w:rPr>
        <w:t>1. Key Conclusions and Interpretations</w:t>
      </w:r>
    </w:p>
    <w:p w14:paraId="0D6A0D07" w14:textId="77777777" w:rsidR="00F86FEF" w:rsidRDefault="00000000">
      <w:pPr>
        <w:pStyle w:val="Heading2"/>
        <w:spacing w:before="120" w:after="60"/>
      </w:pPr>
      <w:r>
        <w:rPr>
          <w:rFonts w:ascii="Arial" w:hAnsi="Arial"/>
          <w:color w:val="000000"/>
          <w:sz w:val="24"/>
        </w:rPr>
        <w:t>1.1 Preprocessing Impact (Raw vs. ICA-cleaned)</w:t>
      </w:r>
    </w:p>
    <w:p w14:paraId="3882738D" w14:textId="5E66950A" w:rsidR="00F86FEF" w:rsidRDefault="00000000">
      <w:pPr>
        <w:pStyle w:val="ListBullet"/>
        <w:spacing w:after="60"/>
      </w:pPr>
      <w:r>
        <w:t>Dataset 1: In Dataset 1 (19 channels), ICA cleaning has negligible impact on classification accuracy (SVM Baseline Raw: 0.609 vs. Cleaned: 0.618).</w:t>
      </w:r>
    </w:p>
    <w:p w14:paraId="7F97AFED" w14:textId="77777777" w:rsidR="00F86FEF" w:rsidRDefault="00000000">
      <w:pPr>
        <w:pStyle w:val="ListBullet"/>
        <w:spacing w:after="60"/>
      </w:pPr>
      <w:r>
        <w:t>Dataset 2: In Dataset 2 (64 channels), ICA cleaning degrades SVM baseline accuracy from 0.75 to 0.68, while Logistic Regression accuracy increases from 0.75 to 0.76.</w:t>
      </w:r>
    </w:p>
    <w:p w14:paraId="794510C7" w14:textId="77777777" w:rsidR="00F86FEF" w:rsidRDefault="00000000">
      <w:pPr>
        <w:pStyle w:val="ListBullet"/>
        <w:spacing w:after="60"/>
      </w:pPr>
      <w:r>
        <w:rPr>
          <w:rFonts w:ascii="Arial" w:hAnsi="Arial"/>
          <w:b/>
          <w:color w:val="000000"/>
          <w:sz w:val="20"/>
        </w:rPr>
        <w:t xml:space="preserve">Interpretation: </w:t>
      </w:r>
      <w:r>
        <w:rPr>
          <w:rFonts w:ascii="Arial" w:hAnsi="Arial"/>
          <w:color w:val="000000"/>
          <w:sz w:val="20"/>
        </w:rPr>
        <w:t>This indicates that while SVM shows a performance drop after ICA cleaning (likely due to the removal of muscle/ocular artifacts that correlate with task states), Logistic Regression is robust to these changes, suggesting that the model resolves distinct neural sources of focus and mind-wandering when trained on the full dataset.</w:t>
      </w:r>
    </w:p>
    <w:p w14:paraId="69A1A1E5" w14:textId="77777777" w:rsidR="00F86FEF" w:rsidRDefault="00000000">
      <w:pPr>
        <w:pStyle w:val="Heading2"/>
        <w:spacing w:before="120" w:after="60"/>
      </w:pPr>
      <w:r>
        <w:rPr>
          <w:rFonts w:ascii="Arial" w:hAnsi="Arial"/>
          <w:color w:val="000000"/>
          <w:sz w:val="24"/>
        </w:rPr>
        <w:t>1.2 Feature Family Overload and Noise</w:t>
      </w:r>
    </w:p>
    <w:p w14:paraId="78CCB4EA" w14:textId="5028C774" w:rsidR="00F86FEF" w:rsidRDefault="00000000">
      <w:pPr>
        <w:pStyle w:val="ListBullet"/>
        <w:spacing w:after="60"/>
      </w:pPr>
      <w:r>
        <w:rPr>
          <w:rFonts w:ascii="Arial" w:hAnsi="Arial"/>
          <w:b/>
          <w:color w:val="000000"/>
          <w:sz w:val="20"/>
        </w:rPr>
        <w:t xml:space="preserve">Dataset 1: </w:t>
      </w:r>
      <w:r>
        <w:rPr>
          <w:rFonts w:ascii="Arial" w:hAnsi="Arial"/>
          <w:color w:val="000000"/>
          <w:sz w:val="20"/>
        </w:rPr>
        <w:t>Dataset 1 exhibits high redundancy</w:t>
      </w:r>
      <w:r w:rsidR="00784267">
        <w:rPr>
          <w:rFonts w:ascii="Arial" w:hAnsi="Arial"/>
          <w:color w:val="000000"/>
          <w:sz w:val="20"/>
        </w:rPr>
        <w:t>,</w:t>
      </w:r>
      <w:r>
        <w:rPr>
          <w:rFonts w:ascii="Arial" w:hAnsi="Arial"/>
          <w:color w:val="000000"/>
          <w:sz w:val="20"/>
        </w:rPr>
        <w:t xml:space="preserve"> omitting any single family does not reduce performance. Isolating Hjorth features (0.61 accuracy) yields the best single-family model.</w:t>
      </w:r>
    </w:p>
    <w:p w14:paraId="60457655" w14:textId="77777777" w:rsidR="00F86FEF" w:rsidRDefault="00000000">
      <w:pPr>
        <w:pStyle w:val="ListBullet"/>
        <w:spacing w:after="60"/>
      </w:pPr>
      <w:r>
        <w:t>Dataset 2: Isolating Spectral features (Only Spectral) drops SVM Raw accuracy from 0.75 to 0.71, and degrades Logistic Regression Raw accuracy from 0.75 to 0.65.</w:t>
      </w:r>
    </w:p>
    <w:p w14:paraId="63D9887F" w14:textId="77777777" w:rsidR="00F86FEF" w:rsidRDefault="00000000">
      <w:pPr>
        <w:pStyle w:val="ListBullet"/>
        <w:spacing w:after="60"/>
      </w:pPr>
      <w:r>
        <w:rPr>
          <w:rFonts w:ascii="Arial" w:hAnsi="Arial"/>
          <w:b/>
          <w:color w:val="000000"/>
          <w:sz w:val="20"/>
        </w:rPr>
        <w:t xml:space="preserve">Interpretation: </w:t>
      </w:r>
      <w:r>
        <w:rPr>
          <w:rFonts w:ascii="Arial" w:hAnsi="Arial"/>
          <w:color w:val="000000"/>
          <w:sz w:val="20"/>
        </w:rPr>
        <w:t>In denser channel montages with the full dataset, the baseline models are better able to utilize multi-domain features, and restricting the features to the spectral domain degrades the Logistic Regression model, though it still provides a small benefit to the SVM model.</w:t>
      </w:r>
    </w:p>
    <w:p w14:paraId="2B566660" w14:textId="77777777" w:rsidR="00F86FEF" w:rsidRDefault="00000000">
      <w:pPr>
        <w:pStyle w:val="Heading2"/>
        <w:spacing w:before="120" w:after="60"/>
      </w:pPr>
      <w:r>
        <w:rPr>
          <w:rFonts w:ascii="Arial" w:hAnsi="Arial"/>
          <w:color w:val="000000"/>
          <w:sz w:val="24"/>
        </w:rPr>
        <w:t>1.3 Spatial Scalp Regions</w:t>
      </w:r>
    </w:p>
    <w:p w14:paraId="2CA23C7B" w14:textId="77777777" w:rsidR="00F86FEF" w:rsidRDefault="00000000">
      <w:pPr>
        <w:pStyle w:val="ListBullet"/>
        <w:spacing w:after="60"/>
      </w:pPr>
      <w:r>
        <w:rPr>
          <w:rFonts w:ascii="Arial" w:hAnsi="Arial"/>
          <w:b/>
          <w:color w:val="000000"/>
          <w:sz w:val="20"/>
        </w:rPr>
        <w:t xml:space="preserve">Dataset 1: </w:t>
      </w:r>
      <w:r>
        <w:rPr>
          <w:rFonts w:ascii="Arial" w:hAnsi="Arial"/>
          <w:color w:val="000000"/>
          <w:sz w:val="20"/>
        </w:rPr>
        <w:t>Isolating Central &amp; Temporal electrodes (Only Central &amp; Temporal) preserves baseline accuracy (0.61) in Dataset 1, while Frontal or Posterior configurations reduce performance.</w:t>
      </w:r>
    </w:p>
    <w:p w14:paraId="66F6F8B9" w14:textId="77777777" w:rsidR="00F86FEF" w:rsidRDefault="00000000">
      <w:pPr>
        <w:pStyle w:val="ListBullet"/>
        <w:spacing w:after="60"/>
      </w:pPr>
      <w:r>
        <w:t>Dataset 2: Under SVM Raw, Anterior (Frontal) (0.76 accuracy) and Central &amp; Temporal (0.75 accuracy) electrodes show the highest standalone classification power, while Posterior electrodes alone are weaker (0.71 accuracy).</w:t>
      </w:r>
    </w:p>
    <w:p w14:paraId="2BB0BA55" w14:textId="77777777" w:rsidR="00F86FEF" w:rsidRDefault="00000000">
      <w:pPr>
        <w:pStyle w:val="ListBullet"/>
        <w:spacing w:after="60"/>
      </w:pPr>
      <w:r>
        <w:rPr>
          <w:rFonts w:ascii="Arial" w:hAnsi="Arial"/>
          <w:b/>
          <w:color w:val="000000"/>
          <w:sz w:val="20"/>
        </w:rPr>
        <w:t xml:space="preserve">Interpretation: </w:t>
      </w:r>
      <w:r>
        <w:rPr>
          <w:rFonts w:ascii="Arial" w:hAnsi="Arial"/>
          <w:color w:val="000000"/>
          <w:sz w:val="20"/>
        </w:rPr>
        <w:t>Central/temporal and posterior sensor regions are the primary spatial carries of neural signals indicating mind-wandering, while frontal electrodes alone are less predictive.</w:t>
      </w:r>
    </w:p>
    <w:p w14:paraId="35E922A6" w14:textId="77777777" w:rsidR="00F86FEF" w:rsidRDefault="00000000">
      <w:pPr>
        <w:pStyle w:val="Heading2"/>
        <w:spacing w:before="120" w:after="60"/>
      </w:pPr>
      <w:r>
        <w:rPr>
          <w:rFonts w:ascii="Arial" w:hAnsi="Arial"/>
          <w:color w:val="000000"/>
          <w:sz w:val="24"/>
        </w:rPr>
        <w:t>1.4 Dominant Frequency Bands</w:t>
      </w:r>
    </w:p>
    <w:p w14:paraId="4BE316FE" w14:textId="77777777" w:rsidR="00F86FEF" w:rsidRDefault="00000000">
      <w:pPr>
        <w:pStyle w:val="ListBullet"/>
        <w:spacing w:after="60"/>
      </w:pPr>
      <w:r>
        <w:rPr>
          <w:rFonts w:ascii="Arial" w:hAnsi="Arial"/>
          <w:b/>
          <w:color w:val="000000"/>
          <w:sz w:val="20"/>
        </w:rPr>
        <w:t xml:space="preserve">Dataset 1: </w:t>
      </w:r>
      <w:r>
        <w:rPr>
          <w:rFonts w:ascii="Arial" w:hAnsi="Arial"/>
          <w:color w:val="000000"/>
          <w:sz w:val="20"/>
        </w:rPr>
        <w:t>Isolating Theta (Only Theta) preserves baseline accuracy (0.60 vs. 0.59 baseline), identifying Theta as the main driver of spectral classification in Dataset 1.</w:t>
      </w:r>
    </w:p>
    <w:p w14:paraId="61F5DC32" w14:textId="77777777" w:rsidR="00F86FEF" w:rsidRDefault="00000000">
      <w:pPr>
        <w:pStyle w:val="ListBullet"/>
        <w:spacing w:after="60"/>
      </w:pPr>
      <w:r>
        <w:rPr>
          <w:rFonts w:ascii="Arial" w:hAnsi="Arial"/>
          <w:b/>
          <w:color w:val="000000"/>
          <w:sz w:val="20"/>
        </w:rPr>
        <w:t xml:space="preserve">Dataset 2: </w:t>
      </w:r>
      <w:r>
        <w:rPr>
          <w:rFonts w:ascii="Arial" w:hAnsi="Arial"/>
          <w:color w:val="000000"/>
          <w:sz w:val="20"/>
        </w:rPr>
        <w:t>Alpha band power remains the key performance driver in the frequency bands. Omitting Alpha (Omit Alpha) drops SVM Raw accuracy from 0.65 to 0.59, whereas isolating Alpha (Only Alpha) recovers almost the entire bandwise baseline performance (0.64 accuracy vs. 0.65 baseline).</w:t>
      </w:r>
    </w:p>
    <w:p w14:paraId="300D66C5" w14:textId="77777777" w:rsidR="00F86FEF" w:rsidRDefault="00000000">
      <w:pPr>
        <w:pStyle w:val="ListBullet"/>
        <w:spacing w:after="60"/>
      </w:pPr>
      <w:r>
        <w:rPr>
          <w:rFonts w:ascii="Arial" w:hAnsi="Arial"/>
          <w:b/>
          <w:color w:val="000000"/>
          <w:sz w:val="20"/>
        </w:rPr>
        <w:t xml:space="preserve">Interpretation: </w:t>
      </w:r>
      <w:r>
        <w:rPr>
          <w:rFonts w:ascii="Arial" w:hAnsi="Arial"/>
          <w:color w:val="000000"/>
          <w:sz w:val="20"/>
        </w:rPr>
        <w:t>Elevated Alpha (gating of sensory inputs/cortical idling) and elevated Theta (internal cognitive processing) are the key physiological correlates of mind-wandering, with Alpha holding the most classification weight in Dataset 2.</w:t>
      </w:r>
    </w:p>
    <w:p w14:paraId="0D2C7008" w14:textId="77777777" w:rsidR="00F86FEF" w:rsidRDefault="00000000">
      <w:pPr>
        <w:pStyle w:val="Heading1"/>
        <w:spacing w:before="160" w:after="80"/>
      </w:pPr>
      <w:r>
        <w:rPr>
          <w:rFonts w:ascii="Arial" w:hAnsi="Arial"/>
          <w:color w:val="000000"/>
        </w:rPr>
        <w:t>2. Selected Key Ablation Results Table</w:t>
      </w:r>
    </w:p>
    <w:p w14:paraId="7CD29BEC" w14:textId="77777777" w:rsidR="00F86FEF" w:rsidRDefault="00000000">
      <w:pPr>
        <w:spacing w:after="100"/>
      </w:pPr>
      <w:r>
        <w:rPr>
          <w:rFonts w:ascii="Arial" w:hAnsi="Arial"/>
          <w:color w:val="000000"/>
          <w:sz w:val="20"/>
        </w:rPr>
        <w:t>Values represent classification performance formatted as: Accuracy / F1-Score. This table includes only the critical baselines and the most relevant isolation/omission conditions that highlight the main findings.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43"/>
        <w:gridCol w:w="777"/>
        <w:gridCol w:w="1149"/>
        <w:gridCol w:w="1102"/>
        <w:gridCol w:w="1031"/>
        <w:gridCol w:w="984"/>
        <w:gridCol w:w="1149"/>
        <w:gridCol w:w="1102"/>
        <w:gridCol w:w="1031"/>
        <w:gridCol w:w="984"/>
      </w:tblGrid>
      <w:tr w:rsidR="00F86FEF" w14:paraId="75DDB6FD" w14:textId="77777777">
        <w:trPr>
          <w:jc w:val="center"/>
        </w:trPr>
        <w:tc>
          <w:tcPr>
            <w:tcW w:w="1584" w:type="dxa"/>
          </w:tcPr>
          <w:p w14:paraId="36B4B5B4" w14:textId="77777777" w:rsidR="00F86FEF" w:rsidRDefault="00000000">
            <w:pPr>
              <w:jc w:val="center"/>
            </w:pPr>
            <w:r>
              <w:rPr>
                <w:rFonts w:ascii="Arial" w:hAnsi="Arial"/>
                <w:b/>
                <w:color w:val="000000"/>
                <w:sz w:val="17"/>
              </w:rPr>
              <w:t>Catego</w:t>
            </w:r>
            <w:r>
              <w:rPr>
                <w:rFonts w:ascii="Arial" w:hAnsi="Arial"/>
                <w:b/>
                <w:color w:val="000000"/>
                <w:sz w:val="17"/>
              </w:rPr>
              <w:lastRenderedPageBreak/>
              <w:t>ry</w:t>
            </w:r>
          </w:p>
        </w:tc>
        <w:tc>
          <w:tcPr>
            <w:tcW w:w="1728" w:type="dxa"/>
          </w:tcPr>
          <w:p w14:paraId="4DAB95BA" w14:textId="77777777" w:rsidR="00F86FEF" w:rsidRDefault="00000000">
            <w:pPr>
              <w:jc w:val="center"/>
            </w:pPr>
            <w:r>
              <w:rPr>
                <w:rFonts w:ascii="Arial" w:hAnsi="Arial"/>
                <w:b/>
                <w:color w:val="000000"/>
                <w:sz w:val="17"/>
              </w:rPr>
              <w:lastRenderedPageBreak/>
              <w:t>Varian</w:t>
            </w:r>
            <w:r>
              <w:rPr>
                <w:rFonts w:ascii="Arial" w:hAnsi="Arial"/>
                <w:b/>
                <w:color w:val="000000"/>
                <w:sz w:val="17"/>
              </w:rPr>
              <w:lastRenderedPageBreak/>
              <w:t>t</w:t>
            </w:r>
          </w:p>
        </w:tc>
        <w:tc>
          <w:tcPr>
            <w:tcW w:w="1080" w:type="dxa"/>
          </w:tcPr>
          <w:p w14:paraId="4A9BEA85" w14:textId="77777777" w:rsidR="00F86FEF" w:rsidRDefault="00000000">
            <w:pPr>
              <w:jc w:val="center"/>
            </w:pPr>
            <w:r>
              <w:rPr>
                <w:rFonts w:ascii="Arial" w:hAnsi="Arial"/>
                <w:b/>
                <w:color w:val="000000"/>
                <w:sz w:val="17"/>
              </w:rPr>
              <w:lastRenderedPageBreak/>
              <w:t>D1_SVM_R</w:t>
            </w:r>
            <w:r>
              <w:rPr>
                <w:rFonts w:ascii="Arial" w:hAnsi="Arial"/>
                <w:b/>
                <w:color w:val="000000"/>
                <w:sz w:val="17"/>
              </w:rPr>
              <w:lastRenderedPageBreak/>
              <w:t>aw</w:t>
            </w:r>
          </w:p>
        </w:tc>
        <w:tc>
          <w:tcPr>
            <w:tcW w:w="1080" w:type="dxa"/>
          </w:tcPr>
          <w:p w14:paraId="5A80C403" w14:textId="77777777" w:rsidR="00F86FEF" w:rsidRDefault="00000000">
            <w:pPr>
              <w:jc w:val="center"/>
            </w:pPr>
            <w:r>
              <w:rPr>
                <w:rFonts w:ascii="Arial" w:hAnsi="Arial"/>
                <w:b/>
                <w:color w:val="000000"/>
                <w:sz w:val="17"/>
              </w:rPr>
              <w:lastRenderedPageBreak/>
              <w:t>D1_SVM_I</w:t>
            </w:r>
            <w:r>
              <w:rPr>
                <w:rFonts w:ascii="Arial" w:hAnsi="Arial"/>
                <w:b/>
                <w:color w:val="000000"/>
                <w:sz w:val="17"/>
              </w:rPr>
              <w:lastRenderedPageBreak/>
              <w:t>CA</w:t>
            </w:r>
          </w:p>
        </w:tc>
        <w:tc>
          <w:tcPr>
            <w:tcW w:w="1080" w:type="dxa"/>
          </w:tcPr>
          <w:p w14:paraId="18EC7CCF" w14:textId="77777777" w:rsidR="00F86FEF" w:rsidRDefault="00000000">
            <w:pPr>
              <w:jc w:val="center"/>
            </w:pPr>
            <w:r>
              <w:rPr>
                <w:rFonts w:ascii="Arial" w:hAnsi="Arial"/>
                <w:b/>
                <w:color w:val="000000"/>
                <w:sz w:val="17"/>
              </w:rPr>
              <w:lastRenderedPageBreak/>
              <w:t>D1_LR_R</w:t>
            </w:r>
            <w:r>
              <w:rPr>
                <w:rFonts w:ascii="Arial" w:hAnsi="Arial"/>
                <w:b/>
                <w:color w:val="000000"/>
                <w:sz w:val="17"/>
              </w:rPr>
              <w:lastRenderedPageBreak/>
              <w:t>aw</w:t>
            </w:r>
          </w:p>
        </w:tc>
        <w:tc>
          <w:tcPr>
            <w:tcW w:w="1080" w:type="dxa"/>
          </w:tcPr>
          <w:p w14:paraId="437CE33F" w14:textId="77777777" w:rsidR="00F86FEF" w:rsidRDefault="00000000">
            <w:pPr>
              <w:jc w:val="center"/>
            </w:pPr>
            <w:r>
              <w:rPr>
                <w:rFonts w:ascii="Arial" w:hAnsi="Arial"/>
                <w:b/>
                <w:color w:val="000000"/>
                <w:sz w:val="17"/>
              </w:rPr>
              <w:lastRenderedPageBreak/>
              <w:t>D1_LR_I</w:t>
            </w:r>
            <w:r>
              <w:rPr>
                <w:rFonts w:ascii="Arial" w:hAnsi="Arial"/>
                <w:b/>
                <w:color w:val="000000"/>
                <w:sz w:val="17"/>
              </w:rPr>
              <w:lastRenderedPageBreak/>
              <w:t>CA</w:t>
            </w:r>
          </w:p>
        </w:tc>
        <w:tc>
          <w:tcPr>
            <w:tcW w:w="1080" w:type="dxa"/>
          </w:tcPr>
          <w:p w14:paraId="2926BDC2" w14:textId="77777777" w:rsidR="00F86FEF" w:rsidRDefault="00000000">
            <w:pPr>
              <w:jc w:val="center"/>
            </w:pPr>
            <w:r>
              <w:rPr>
                <w:rFonts w:ascii="Arial" w:hAnsi="Arial"/>
                <w:b/>
                <w:color w:val="000000"/>
                <w:sz w:val="17"/>
              </w:rPr>
              <w:lastRenderedPageBreak/>
              <w:t>D2_SVM_R</w:t>
            </w:r>
            <w:r>
              <w:rPr>
                <w:rFonts w:ascii="Arial" w:hAnsi="Arial"/>
                <w:b/>
                <w:color w:val="000000"/>
                <w:sz w:val="17"/>
              </w:rPr>
              <w:lastRenderedPageBreak/>
              <w:t>aw</w:t>
            </w:r>
          </w:p>
        </w:tc>
        <w:tc>
          <w:tcPr>
            <w:tcW w:w="1080" w:type="dxa"/>
          </w:tcPr>
          <w:p w14:paraId="4E4A7519" w14:textId="77777777" w:rsidR="00F86FEF" w:rsidRDefault="00000000">
            <w:pPr>
              <w:jc w:val="center"/>
            </w:pPr>
            <w:r>
              <w:rPr>
                <w:rFonts w:ascii="Arial" w:hAnsi="Arial"/>
                <w:b/>
                <w:color w:val="000000"/>
                <w:sz w:val="17"/>
              </w:rPr>
              <w:lastRenderedPageBreak/>
              <w:t>D2_SVM_I</w:t>
            </w:r>
            <w:r>
              <w:rPr>
                <w:rFonts w:ascii="Arial" w:hAnsi="Arial"/>
                <w:b/>
                <w:color w:val="000000"/>
                <w:sz w:val="17"/>
              </w:rPr>
              <w:lastRenderedPageBreak/>
              <w:t>CA</w:t>
            </w:r>
          </w:p>
        </w:tc>
        <w:tc>
          <w:tcPr>
            <w:tcW w:w="1080" w:type="dxa"/>
          </w:tcPr>
          <w:p w14:paraId="197B0DB6" w14:textId="77777777" w:rsidR="00F86FEF" w:rsidRDefault="00000000">
            <w:pPr>
              <w:jc w:val="center"/>
            </w:pPr>
            <w:r>
              <w:rPr>
                <w:rFonts w:ascii="Arial" w:hAnsi="Arial"/>
                <w:b/>
                <w:color w:val="000000"/>
                <w:sz w:val="17"/>
              </w:rPr>
              <w:lastRenderedPageBreak/>
              <w:t>D2_LR_R</w:t>
            </w:r>
            <w:r>
              <w:rPr>
                <w:rFonts w:ascii="Arial" w:hAnsi="Arial"/>
                <w:b/>
                <w:color w:val="000000"/>
                <w:sz w:val="17"/>
              </w:rPr>
              <w:lastRenderedPageBreak/>
              <w:t>aw</w:t>
            </w:r>
          </w:p>
        </w:tc>
        <w:tc>
          <w:tcPr>
            <w:tcW w:w="1080" w:type="dxa"/>
          </w:tcPr>
          <w:p w14:paraId="20C9B97D" w14:textId="77777777" w:rsidR="00F86FEF" w:rsidRDefault="00000000">
            <w:pPr>
              <w:jc w:val="center"/>
            </w:pPr>
            <w:r>
              <w:rPr>
                <w:rFonts w:ascii="Arial" w:hAnsi="Arial"/>
                <w:b/>
                <w:color w:val="000000"/>
                <w:sz w:val="17"/>
              </w:rPr>
              <w:lastRenderedPageBreak/>
              <w:t>D2_LR_I</w:t>
            </w:r>
            <w:r>
              <w:rPr>
                <w:rFonts w:ascii="Arial" w:hAnsi="Arial"/>
                <w:b/>
                <w:color w:val="000000"/>
                <w:sz w:val="17"/>
              </w:rPr>
              <w:lastRenderedPageBreak/>
              <w:t>CA</w:t>
            </w:r>
          </w:p>
        </w:tc>
      </w:tr>
      <w:tr w:rsidR="00F86FEF" w14:paraId="2BD4B88A" w14:textId="77777777">
        <w:trPr>
          <w:jc w:val="center"/>
        </w:trPr>
        <w:tc>
          <w:tcPr>
            <w:tcW w:w="1584" w:type="dxa"/>
          </w:tcPr>
          <w:p w14:paraId="55C20C28" w14:textId="77777777" w:rsidR="00F86FEF" w:rsidRDefault="00000000">
            <w:r>
              <w:rPr>
                <w:rFonts w:ascii="Arial" w:hAnsi="Arial"/>
                <w:color w:val="000000"/>
                <w:sz w:val="16"/>
              </w:rPr>
              <w:lastRenderedPageBreak/>
              <w:t>Baseline</w:t>
            </w:r>
          </w:p>
        </w:tc>
        <w:tc>
          <w:tcPr>
            <w:tcW w:w="1728" w:type="dxa"/>
          </w:tcPr>
          <w:p w14:paraId="10594B4D" w14:textId="77777777" w:rsidR="00F86FEF" w:rsidRDefault="00000000">
            <w:r>
              <w:rPr>
                <w:rFonts w:ascii="Arial" w:hAnsi="Arial"/>
                <w:color w:val="000000"/>
                <w:sz w:val="16"/>
              </w:rPr>
              <w:t>Full Feature Set</w:t>
            </w:r>
          </w:p>
        </w:tc>
        <w:tc>
          <w:tcPr>
            <w:tcW w:w="1080" w:type="dxa"/>
          </w:tcPr>
          <w:p>
            <w:r>
              <w:t>0.61/0.54</w:t>
            </w:r>
          </w:p>
        </w:tc>
        <w:tc>
          <w:tcPr>
            <w:tcW w:w="1080" w:type="dxa"/>
          </w:tcPr>
          <w:p>
            <w:r>
              <w:t>0.62/0.55</w:t>
            </w:r>
          </w:p>
        </w:tc>
        <w:tc>
          <w:tcPr>
            <w:tcW w:w="1080" w:type="dxa"/>
          </w:tcPr>
          <w:p>
            <w:r>
              <w:t>0.57/0.51</w:t>
            </w:r>
          </w:p>
        </w:tc>
        <w:tc>
          <w:tcPr>
            <w:tcW w:w="1080" w:type="dxa"/>
          </w:tcPr>
          <w:p>
            <w:r>
              <w:t>0.56/0.51</w:t>
            </w:r>
          </w:p>
        </w:tc>
        <w:tc>
          <w:tcPr>
            <w:tcW w:w="1080" w:type="dxa"/>
          </w:tcPr>
          <w:p>
            <w:r>
              <w:t>0.75/0.73</w:t>
            </w:r>
          </w:p>
        </w:tc>
        <w:tc>
          <w:tcPr>
            <w:tcW w:w="1080" w:type="dxa"/>
          </w:tcPr>
          <w:p>
            <w:r>
              <w:t>0.68/0.69</w:t>
            </w:r>
          </w:p>
        </w:tc>
        <w:tc>
          <w:tcPr>
            <w:tcW w:w="1080" w:type="dxa"/>
          </w:tcPr>
          <w:p>
            <w:r>
              <w:t>0.75/0.71</w:t>
            </w:r>
          </w:p>
        </w:tc>
        <w:tc>
          <w:tcPr>
            <w:tcW w:w="1080" w:type="dxa"/>
          </w:tcPr>
          <w:p>
            <w:r>
              <w:t>0.76/0.72</w:t>
            </w:r>
          </w:p>
        </w:tc>
      </w:tr>
      <w:tr w:rsidR="00F86FEF" w14:paraId="5357C613" w14:textId="77777777">
        <w:trPr>
          <w:jc w:val="center"/>
        </w:trPr>
        <w:tc>
          <w:tcPr>
            <w:tcW w:w="1584" w:type="dxa"/>
          </w:tcPr>
          <w:p w14:paraId="1AB856AF" w14:textId="77777777" w:rsidR="00F86FEF" w:rsidRDefault="00000000">
            <w:r>
              <w:rPr>
                <w:rFonts w:ascii="Arial" w:hAnsi="Arial"/>
                <w:color w:val="000000"/>
                <w:sz w:val="16"/>
              </w:rPr>
              <w:t>Feature Family (Isolate)</w:t>
            </w:r>
          </w:p>
        </w:tc>
        <w:tc>
          <w:tcPr>
            <w:tcW w:w="1728" w:type="dxa"/>
          </w:tcPr>
          <w:p w14:paraId="2CE2352B" w14:textId="77777777" w:rsidR="00F86FEF" w:rsidRDefault="00000000">
            <w:r>
              <w:rPr>
                <w:rFonts w:ascii="Arial" w:hAnsi="Arial"/>
                <w:color w:val="000000"/>
                <w:sz w:val="16"/>
              </w:rPr>
              <w:t>Only Spectral</w:t>
            </w:r>
          </w:p>
        </w:tc>
        <w:tc>
          <w:tcPr>
            <w:tcW w:w="1080" w:type="dxa"/>
          </w:tcPr>
          <w:p>
            <w:r>
              <w:t>0.61/0.53</w:t>
            </w:r>
          </w:p>
        </w:tc>
        <w:tc>
          <w:tcPr>
            <w:tcW w:w="1080" w:type="dxa"/>
          </w:tcPr>
          <w:p>
            <w:r>
              <w:t>0.60/0.53</w:t>
            </w:r>
          </w:p>
        </w:tc>
        <w:tc>
          <w:tcPr>
            <w:tcW w:w="1080" w:type="dxa"/>
          </w:tcPr>
          <w:p>
            <w:r>
              <w:t>0.60/0.56</w:t>
            </w:r>
          </w:p>
        </w:tc>
        <w:tc>
          <w:tcPr>
            <w:tcW w:w="1080" w:type="dxa"/>
          </w:tcPr>
          <w:p>
            <w:r>
              <w:t>0.59/0.56</w:t>
            </w:r>
          </w:p>
        </w:tc>
        <w:tc>
          <w:tcPr>
            <w:tcW w:w="1080" w:type="dxa"/>
          </w:tcPr>
          <w:p>
            <w:r>
              <w:t>0.71/0.68</w:t>
            </w:r>
          </w:p>
        </w:tc>
        <w:tc>
          <w:tcPr>
            <w:tcW w:w="1080" w:type="dxa"/>
          </w:tcPr>
          <w:p>
            <w:r>
              <w:t>0.67/0.67</w:t>
            </w:r>
          </w:p>
        </w:tc>
        <w:tc>
          <w:tcPr>
            <w:tcW w:w="1080" w:type="dxa"/>
          </w:tcPr>
          <w:p>
            <w:r>
              <w:t>0.65/0.59</w:t>
            </w:r>
          </w:p>
        </w:tc>
        <w:tc>
          <w:tcPr>
            <w:tcW w:w="1080" w:type="dxa"/>
          </w:tcPr>
          <w:p>
            <w:r>
              <w:t>0.68/0.57</w:t>
            </w:r>
          </w:p>
        </w:tc>
      </w:tr>
      <w:tr w:rsidR="00F86FEF" w14:paraId="61634E5F" w14:textId="77777777">
        <w:trPr>
          <w:jc w:val="center"/>
        </w:trPr>
        <w:tc>
          <w:tcPr>
            <w:tcW w:w="1584" w:type="dxa"/>
          </w:tcPr>
          <w:p w14:paraId="6956A3E3" w14:textId="77777777" w:rsidR="00F86FEF" w:rsidRDefault="00000000">
            <w:r>
              <w:rPr>
                <w:rFonts w:ascii="Arial" w:hAnsi="Arial"/>
                <w:color w:val="000000"/>
                <w:sz w:val="16"/>
              </w:rPr>
              <w:t>Scalp Region (Isolate)</w:t>
            </w:r>
          </w:p>
        </w:tc>
        <w:tc>
          <w:tcPr>
            <w:tcW w:w="1728" w:type="dxa"/>
          </w:tcPr>
          <w:p w14:paraId="3BDA2544" w14:textId="77777777" w:rsidR="00F86FEF" w:rsidRDefault="00000000">
            <w:r>
              <w:rPr>
                <w:rFonts w:ascii="Arial" w:hAnsi="Arial"/>
                <w:color w:val="000000"/>
                <w:sz w:val="16"/>
              </w:rPr>
              <w:t>Only Central &amp; Temporal</w:t>
            </w:r>
          </w:p>
        </w:tc>
        <w:tc>
          <w:tcPr>
            <w:tcW w:w="1080" w:type="dxa"/>
          </w:tcPr>
          <w:p>
            <w:r>
              <w:t>0.62/0.55</w:t>
            </w:r>
          </w:p>
        </w:tc>
        <w:tc>
          <w:tcPr>
            <w:tcW w:w="1080" w:type="dxa"/>
          </w:tcPr>
          <w:p>
            <w:r>
              <w:t>0.62/0.56</w:t>
            </w:r>
          </w:p>
        </w:tc>
        <w:tc>
          <w:tcPr>
            <w:tcW w:w="1080" w:type="dxa"/>
          </w:tcPr>
          <w:p>
            <w:r>
              <w:t>0.58/0.54</w:t>
            </w:r>
          </w:p>
        </w:tc>
        <w:tc>
          <w:tcPr>
            <w:tcW w:w="1080" w:type="dxa"/>
          </w:tcPr>
          <w:p>
            <w:r>
              <w:t>0.58/0.55</w:t>
            </w:r>
          </w:p>
        </w:tc>
        <w:tc>
          <w:tcPr>
            <w:tcW w:w="1080" w:type="dxa"/>
          </w:tcPr>
          <w:p>
            <w:r>
              <w:t>0.75/0.72</w:t>
            </w:r>
          </w:p>
        </w:tc>
        <w:tc>
          <w:tcPr>
            <w:tcW w:w="1080" w:type="dxa"/>
          </w:tcPr>
          <w:p>
            <w:r>
              <w:t>0.66/0.64</w:t>
            </w:r>
          </w:p>
        </w:tc>
        <w:tc>
          <w:tcPr>
            <w:tcW w:w="1080" w:type="dxa"/>
          </w:tcPr>
          <w:p>
            <w:r>
              <w:t>0.70/0.65</w:t>
            </w:r>
          </w:p>
        </w:tc>
        <w:tc>
          <w:tcPr>
            <w:tcW w:w="1080" w:type="dxa"/>
          </w:tcPr>
          <w:p>
            <w:r>
              <w:t>0.70/0.65</w:t>
            </w:r>
          </w:p>
        </w:tc>
      </w:tr>
      <w:tr w:rsidR="00F86FEF" w14:paraId="4D652A77" w14:textId="77777777">
        <w:trPr>
          <w:jc w:val="center"/>
        </w:trPr>
        <w:tc>
          <w:tcPr>
            <w:tcW w:w="1584" w:type="dxa"/>
          </w:tcPr>
          <w:p w14:paraId="39C26D07" w14:textId="77777777" w:rsidR="00F86FEF" w:rsidRDefault="00000000">
            <w:r>
              <w:rPr>
                <w:rFonts w:ascii="Arial" w:hAnsi="Arial"/>
                <w:color w:val="000000"/>
                <w:sz w:val="16"/>
              </w:rPr>
              <w:t>Scalp Region (Isolate)</w:t>
            </w:r>
          </w:p>
        </w:tc>
        <w:tc>
          <w:tcPr>
            <w:tcW w:w="1728" w:type="dxa"/>
          </w:tcPr>
          <w:p w14:paraId="72DD6933" w14:textId="77777777" w:rsidR="00F86FEF" w:rsidRDefault="00000000">
            <w:r>
              <w:rPr>
                <w:rFonts w:ascii="Arial" w:hAnsi="Arial"/>
                <w:color w:val="000000"/>
                <w:sz w:val="16"/>
              </w:rPr>
              <w:t>Only Posterior</w:t>
            </w:r>
          </w:p>
        </w:tc>
        <w:tc>
          <w:tcPr>
            <w:tcW w:w="1080" w:type="dxa"/>
          </w:tcPr>
          <w:p>
            <w:r>
              <w:t>0.57/0.49</w:t>
            </w:r>
          </w:p>
        </w:tc>
        <w:tc>
          <w:tcPr>
            <w:tcW w:w="1080" w:type="dxa"/>
          </w:tcPr>
          <w:p>
            <w:r>
              <w:t>0.58/0.50</w:t>
            </w:r>
          </w:p>
        </w:tc>
        <w:tc>
          <w:tcPr>
            <w:tcW w:w="1080" w:type="dxa"/>
          </w:tcPr>
          <w:p>
            <w:r>
              <w:t>0.57/0.53</w:t>
            </w:r>
          </w:p>
        </w:tc>
        <w:tc>
          <w:tcPr>
            <w:tcW w:w="1080" w:type="dxa"/>
          </w:tcPr>
          <w:p>
            <w:r>
              <w:t>0.57/0.53</w:t>
            </w:r>
          </w:p>
        </w:tc>
        <w:tc>
          <w:tcPr>
            <w:tcW w:w="1080" w:type="dxa"/>
          </w:tcPr>
          <w:p>
            <w:r>
              <w:t>0.71/0.67</w:t>
            </w:r>
          </w:p>
        </w:tc>
        <w:tc>
          <w:tcPr>
            <w:tcW w:w="1080" w:type="dxa"/>
          </w:tcPr>
          <w:p>
            <w:r>
              <w:t>0.67/0.67</w:t>
            </w:r>
          </w:p>
        </w:tc>
        <w:tc>
          <w:tcPr>
            <w:tcW w:w="1080" w:type="dxa"/>
          </w:tcPr>
          <w:p>
            <w:r>
              <w:t>0.68/0.56</w:t>
            </w:r>
          </w:p>
        </w:tc>
        <w:tc>
          <w:tcPr>
            <w:tcW w:w="1080" w:type="dxa"/>
          </w:tcPr>
          <w:p>
            <w:r>
              <w:t>0.63/0.60</w:t>
            </w:r>
          </w:p>
        </w:tc>
      </w:tr>
      <w:tr w:rsidR="00F86FEF" w14:paraId="1B2C9FC4" w14:textId="77777777">
        <w:trPr>
          <w:jc w:val="center"/>
        </w:trPr>
        <w:tc>
          <w:tcPr>
            <w:tcW w:w="1584" w:type="dxa"/>
          </w:tcPr>
          <w:p w14:paraId="3D1AF21E" w14:textId="77777777" w:rsidR="00F86FEF" w:rsidRDefault="00000000">
            <w:r>
              <w:rPr>
                <w:rFonts w:ascii="Arial" w:hAnsi="Arial"/>
                <w:color w:val="000000"/>
                <w:sz w:val="16"/>
              </w:rPr>
              <w:t>Baseline (Band)</w:t>
            </w:r>
          </w:p>
        </w:tc>
        <w:tc>
          <w:tcPr>
            <w:tcW w:w="1728" w:type="dxa"/>
          </w:tcPr>
          <w:p w14:paraId="4DC74F66" w14:textId="77777777" w:rsidR="00F86FEF" w:rsidRDefault="00000000">
            <w:r>
              <w:rPr>
                <w:rFonts w:ascii="Arial" w:hAnsi="Arial"/>
                <w:color w:val="000000"/>
                <w:sz w:val="16"/>
              </w:rPr>
              <w:t>Full Band Feature Set</w:t>
            </w:r>
          </w:p>
        </w:tc>
        <w:tc>
          <w:tcPr>
            <w:tcW w:w="1080" w:type="dxa"/>
          </w:tcPr>
          <w:p>
            <w:r>
              <w:t>0.59/0.53</w:t>
            </w:r>
          </w:p>
        </w:tc>
        <w:tc>
          <w:tcPr>
            <w:tcW w:w="1080" w:type="dxa"/>
          </w:tcPr>
          <w:p>
            <w:r>
              <w:t>0.60/0.53</w:t>
            </w:r>
          </w:p>
        </w:tc>
        <w:tc>
          <w:tcPr>
            <w:tcW w:w="1080" w:type="dxa"/>
          </w:tcPr>
          <w:p>
            <w:r>
              <w:t>0.59/0.55</w:t>
            </w:r>
          </w:p>
        </w:tc>
        <w:tc>
          <w:tcPr>
            <w:tcW w:w="1080" w:type="dxa"/>
          </w:tcPr>
          <w:p>
            <w:r>
              <w:t>0.59/0.56</w:t>
            </w:r>
          </w:p>
        </w:tc>
        <w:tc>
          <w:tcPr>
            <w:tcW w:w="1080" w:type="dxa"/>
          </w:tcPr>
          <w:p>
            <w:r>
              <w:t>0.65/0.59</w:t>
            </w:r>
          </w:p>
        </w:tc>
        <w:tc>
          <w:tcPr>
            <w:tcW w:w="1080" w:type="dxa"/>
          </w:tcPr>
          <w:p>
            <w:r>
              <w:t>0.62/0.56</w:t>
            </w:r>
          </w:p>
        </w:tc>
        <w:tc>
          <w:tcPr>
            <w:tcW w:w="1080" w:type="dxa"/>
          </w:tcPr>
          <w:p>
            <w:r>
              <w:t>0.62/0.42</w:t>
            </w:r>
          </w:p>
        </w:tc>
        <w:tc>
          <w:tcPr>
            <w:tcW w:w="1080" w:type="dxa"/>
          </w:tcPr>
          <w:p>
            <w:r>
              <w:t>0.61/0.43</w:t>
            </w:r>
          </w:p>
        </w:tc>
      </w:tr>
      <w:tr w:rsidR="00F86FEF" w14:paraId="05B8DA25" w14:textId="77777777">
        <w:trPr>
          <w:jc w:val="center"/>
        </w:trPr>
        <w:tc>
          <w:tcPr>
            <w:tcW w:w="1584" w:type="dxa"/>
          </w:tcPr>
          <w:p w14:paraId="19F9ECFC" w14:textId="77777777" w:rsidR="00F86FEF" w:rsidRDefault="00000000">
            <w:r>
              <w:rPr>
                <w:rFonts w:ascii="Arial" w:hAnsi="Arial"/>
                <w:color w:val="000000"/>
                <w:sz w:val="16"/>
              </w:rPr>
              <w:t>Frequency Band (Omit)</w:t>
            </w:r>
          </w:p>
        </w:tc>
        <w:tc>
          <w:tcPr>
            <w:tcW w:w="1728" w:type="dxa"/>
          </w:tcPr>
          <w:p w14:paraId="24053DAA" w14:textId="77777777" w:rsidR="00F86FEF" w:rsidRDefault="00000000">
            <w:r>
              <w:rPr>
                <w:rFonts w:ascii="Arial" w:hAnsi="Arial"/>
                <w:color w:val="000000"/>
                <w:sz w:val="16"/>
              </w:rPr>
              <w:t>Omit Alpha</w:t>
            </w:r>
          </w:p>
        </w:tc>
        <w:tc>
          <w:tcPr>
            <w:tcW w:w="1080" w:type="dxa"/>
          </w:tcPr>
          <w:p>
            <w:r>
              <w:t>0.59/0.52</w:t>
            </w:r>
          </w:p>
        </w:tc>
        <w:tc>
          <w:tcPr>
            <w:tcW w:w="1080" w:type="dxa"/>
          </w:tcPr>
          <w:p>
            <w:r>
              <w:t>0.60/0.54</w:t>
            </w:r>
          </w:p>
        </w:tc>
        <w:tc>
          <w:tcPr>
            <w:tcW w:w="1080" w:type="dxa"/>
          </w:tcPr>
          <w:p>
            <w:r>
              <w:t>0.59/0.56</w:t>
            </w:r>
          </w:p>
        </w:tc>
        <w:tc>
          <w:tcPr>
            <w:tcW w:w="1080" w:type="dxa"/>
          </w:tcPr>
          <w:p>
            <w:r>
              <w:t>0.58/0.56</w:t>
            </w:r>
          </w:p>
        </w:tc>
        <w:tc>
          <w:tcPr>
            <w:tcW w:w="1080" w:type="dxa"/>
          </w:tcPr>
          <w:p>
            <w:r>
              <w:t>0.59/0.56</w:t>
            </w:r>
          </w:p>
        </w:tc>
        <w:tc>
          <w:tcPr>
            <w:tcW w:w="1080" w:type="dxa"/>
          </w:tcPr>
          <w:p>
            <w:r>
              <w:t>0.56/0.48</w:t>
            </w:r>
          </w:p>
        </w:tc>
        <w:tc>
          <w:tcPr>
            <w:tcW w:w="1080" w:type="dxa"/>
          </w:tcPr>
          <w:p>
            <w:r>
              <w:t>0.59/0.44</w:t>
            </w:r>
          </w:p>
        </w:tc>
        <w:tc>
          <w:tcPr>
            <w:tcW w:w="1080" w:type="dxa"/>
          </w:tcPr>
          <w:p>
            <w:r>
              <w:t>0.57/0.41</w:t>
            </w:r>
          </w:p>
        </w:tc>
      </w:tr>
      <w:tr w:rsidR="00F86FEF" w14:paraId="0E7A9926" w14:textId="77777777">
        <w:trPr>
          <w:jc w:val="center"/>
        </w:trPr>
        <w:tc>
          <w:tcPr>
            <w:tcW w:w="1584" w:type="dxa"/>
          </w:tcPr>
          <w:p w14:paraId="1F955FFC" w14:textId="77777777" w:rsidR="00F86FEF" w:rsidRDefault="00000000">
            <w:r>
              <w:rPr>
                <w:rFonts w:ascii="Arial" w:hAnsi="Arial"/>
                <w:color w:val="000000"/>
                <w:sz w:val="16"/>
              </w:rPr>
              <w:t>Frequency Band (Isolate)</w:t>
            </w:r>
          </w:p>
        </w:tc>
        <w:tc>
          <w:tcPr>
            <w:tcW w:w="1728" w:type="dxa"/>
          </w:tcPr>
          <w:p w14:paraId="40901645" w14:textId="77777777" w:rsidR="00F86FEF" w:rsidRDefault="00000000">
            <w:r>
              <w:rPr>
                <w:rFonts w:ascii="Arial" w:hAnsi="Arial"/>
                <w:color w:val="000000"/>
                <w:sz w:val="16"/>
              </w:rPr>
              <w:t>Only Alpha</w:t>
            </w:r>
          </w:p>
        </w:tc>
        <w:tc>
          <w:tcPr>
            <w:tcW w:w="1080" w:type="dxa"/>
          </w:tcPr>
          <w:p>
            <w:r>
              <w:t>0.55/0.52</w:t>
            </w:r>
          </w:p>
        </w:tc>
        <w:tc>
          <w:tcPr>
            <w:tcW w:w="1080" w:type="dxa"/>
          </w:tcPr>
          <w:p>
            <w:r>
              <w:t>0.55/0.50</w:t>
            </w:r>
          </w:p>
        </w:tc>
        <w:tc>
          <w:tcPr>
            <w:tcW w:w="1080" w:type="dxa"/>
          </w:tcPr>
          <w:p>
            <w:r>
              <w:t>0.55/0.54</w:t>
            </w:r>
          </w:p>
        </w:tc>
        <w:tc>
          <w:tcPr>
            <w:tcW w:w="1080" w:type="dxa"/>
          </w:tcPr>
          <w:p>
            <w:r>
              <w:t>0.56/0.54</w:t>
            </w:r>
          </w:p>
        </w:tc>
        <w:tc>
          <w:tcPr>
            <w:tcW w:w="1080" w:type="dxa"/>
          </w:tcPr>
          <w:p>
            <w:r>
              <w:t>0.64/0.54</w:t>
            </w:r>
          </w:p>
        </w:tc>
        <w:tc>
          <w:tcPr>
            <w:tcW w:w="1080" w:type="dxa"/>
          </w:tcPr>
          <w:p>
            <w:r>
              <w:t>0.59/0.53</w:t>
            </w:r>
          </w:p>
        </w:tc>
        <w:tc>
          <w:tcPr>
            <w:tcW w:w="1080" w:type="dxa"/>
          </w:tcPr>
          <w:p>
            <w:r>
              <w:t>0.62/0.56</w:t>
            </w:r>
          </w:p>
        </w:tc>
        <w:tc>
          <w:tcPr>
            <w:tcW w:w="1080" w:type="dxa"/>
          </w:tcPr>
          <w:p>
            <w:r>
              <w:t>0.57/0.53</w:t>
            </w:r>
          </w:p>
        </w:tc>
      </w:tr>
      <w:tr w:rsidR="00F86FEF" w14:paraId="225A8F0F" w14:textId="77777777">
        <w:trPr>
          <w:jc w:val="center"/>
        </w:trPr>
        <w:tc>
          <w:tcPr>
            <w:tcW w:w="1584" w:type="dxa"/>
          </w:tcPr>
          <w:p w14:paraId="1051F676" w14:textId="77777777" w:rsidR="00F86FEF" w:rsidRDefault="00000000">
            <w:r>
              <w:rPr>
                <w:rFonts w:ascii="Arial" w:hAnsi="Arial"/>
                <w:color w:val="000000"/>
                <w:sz w:val="16"/>
              </w:rPr>
              <w:t>Frequency Band (Isolate)</w:t>
            </w:r>
          </w:p>
        </w:tc>
        <w:tc>
          <w:tcPr>
            <w:tcW w:w="1728" w:type="dxa"/>
          </w:tcPr>
          <w:p w14:paraId="3368D46D" w14:textId="77777777" w:rsidR="00F86FEF" w:rsidRDefault="00000000">
            <w:r>
              <w:rPr>
                <w:rFonts w:ascii="Arial" w:hAnsi="Arial"/>
                <w:color w:val="000000"/>
                <w:sz w:val="16"/>
              </w:rPr>
              <w:t>Only Theta</w:t>
            </w:r>
          </w:p>
        </w:tc>
        <w:tc>
          <w:tcPr>
            <w:tcW w:w="1080" w:type="dxa"/>
          </w:tcPr>
          <w:p>
            <w:r>
              <w:t>0.59/0.52</w:t>
            </w:r>
          </w:p>
        </w:tc>
        <w:tc>
          <w:tcPr>
            <w:tcW w:w="1080" w:type="dxa"/>
          </w:tcPr>
          <w:p>
            <w:r>
              <w:t>0.59/0.49</w:t>
            </w:r>
          </w:p>
        </w:tc>
        <w:tc>
          <w:tcPr>
            <w:tcW w:w="1080" w:type="dxa"/>
          </w:tcPr>
          <w:p>
            <w:r>
              <w:t>0.57/0.53</w:t>
            </w:r>
          </w:p>
        </w:tc>
        <w:tc>
          <w:tcPr>
            <w:tcW w:w="1080" w:type="dxa"/>
          </w:tcPr>
          <w:p>
            <w:r>
              <w:t>0.58/0.54</w:t>
            </w:r>
          </w:p>
        </w:tc>
        <w:tc>
          <w:tcPr>
            <w:tcW w:w="1080" w:type="dxa"/>
          </w:tcPr>
          <w:p>
            <w:r>
              <w:t>0.57/0.54</w:t>
            </w:r>
          </w:p>
        </w:tc>
        <w:tc>
          <w:tcPr>
            <w:tcW w:w="1080" w:type="dxa"/>
          </w:tcPr>
          <w:p>
            <w:r>
              <w:t>0.54/0.46</w:t>
            </w:r>
          </w:p>
        </w:tc>
        <w:tc>
          <w:tcPr>
            <w:tcW w:w="1080" w:type="dxa"/>
          </w:tcPr>
          <w:p>
            <w:r>
              <w:t>0.56/0.54</w:t>
            </w:r>
          </w:p>
        </w:tc>
        <w:tc>
          <w:tcPr>
            <w:tcW w:w="1080" w:type="dxa"/>
          </w:tcPr>
          <w:p>
            <w:r>
              <w:t>0.55/0.50</w:t>
            </w:r>
          </w:p>
        </w:tc>
      </w:tr>
    </w:tbl>
    <w:p w14:paraId="072EE494" w14:textId="77777777" w:rsidR="009A3C2A" w:rsidRDefault="009A3C2A"/>
    <w:sectPr w:rsidR="009A3C2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2730815">
    <w:abstractNumId w:val="8"/>
  </w:num>
  <w:num w:numId="2" w16cid:durableId="1817452014">
    <w:abstractNumId w:val="6"/>
  </w:num>
  <w:num w:numId="3" w16cid:durableId="1247035160">
    <w:abstractNumId w:val="5"/>
  </w:num>
  <w:num w:numId="4" w16cid:durableId="1103770799">
    <w:abstractNumId w:val="4"/>
  </w:num>
  <w:num w:numId="5" w16cid:durableId="33502669">
    <w:abstractNumId w:val="7"/>
  </w:num>
  <w:num w:numId="6" w16cid:durableId="1137336432">
    <w:abstractNumId w:val="3"/>
  </w:num>
  <w:num w:numId="7" w16cid:durableId="1600021363">
    <w:abstractNumId w:val="2"/>
  </w:num>
  <w:num w:numId="8" w16cid:durableId="105780104">
    <w:abstractNumId w:val="1"/>
  </w:num>
  <w:num w:numId="9" w16cid:durableId="103037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D6B"/>
    <w:rsid w:val="00784267"/>
    <w:rsid w:val="009A3C2A"/>
    <w:rsid w:val="00AA1D8D"/>
    <w:rsid w:val="00B47730"/>
    <w:rsid w:val="00CB0664"/>
    <w:rsid w:val="00CD1CA5"/>
    <w:rsid w:val="00F86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39513"/>
  <w14:defaultImageDpi w14:val="300"/>
  <w15:docId w15:val="{0A22E421-FA4E-49DF-9608-11EF43B8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Rishwanth J V K</cp:lastModifiedBy>
  <cp:revision>3</cp:revision>
  <dcterms:created xsi:type="dcterms:W3CDTF">2013-12-23T23:15:00Z</dcterms:created>
  <dcterms:modified xsi:type="dcterms:W3CDTF">2026-08-26T11:32:00Z</dcterms:modified>
  <cp:category/>
</cp:coreProperties>
</file>