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Arial" w:hAnsi="Arial"/>
          <w:b/>
          <w:sz w:val="32"/>
        </w:rPr>
        <w:t>EEG Mind-Wandering Analysis</w:t>
        <w:br/>
        <w:t>Summary of Research Project Contributions</w:t>
      </w:r>
    </w:p>
    <w:p>
      <w:pPr>
        <w:spacing w:before="280" w:after="120"/>
      </w:pPr>
      <w:r>
        <w:rPr>
          <w:rFonts w:ascii="Arial" w:hAnsi="Arial"/>
          <w:b/>
          <w:sz w:val="26"/>
        </w:rPr>
        <w:t>1. Physiological Biomarkers of Mind-Wandering (MW)</w:t>
      </w:r>
    </w:p>
    <w:p>
      <w:pPr>
        <w:pStyle w:val="ListBullet"/>
        <w:spacing w:after="80"/>
      </w:pPr>
      <w:r>
        <w:rPr>
          <w:rFonts w:ascii="Arial" w:hAnsi="Arial"/>
          <w:b/>
          <w:sz w:val="22"/>
        </w:rPr>
        <w:t xml:space="preserve">Consistent Delta Band (1–4 Hz) Shift: </w:t>
      </w:r>
      <w:r>
        <w:rPr>
          <w:rFonts w:ascii="Arial" w:hAnsi="Arial"/>
          <w:sz w:val="22"/>
        </w:rPr>
        <w:t>Identified a nearly identical positive baseline shift in mean Delta power during mind-wandering compared to Focus states across both datasets (~+0.095 log10(V²/Hz) in Dataset 1, ~+0.099 log10(V²/Hz) in Dataset 2), reflecting lower physiological vigilance.</w:t>
      </w:r>
    </w:p>
    <w:p>
      <w:pPr>
        <w:pStyle w:val="ListBullet"/>
        <w:spacing w:after="80"/>
      </w:pPr>
      <w:r>
        <w:rPr>
          <w:rFonts w:ascii="Arial" w:hAnsi="Arial"/>
          <w:b/>
          <w:sz w:val="22"/>
        </w:rPr>
        <w:t xml:space="preserve">Delta (1–4 Hz) Temporal Trajectories: </w:t>
      </w:r>
      <w:r>
        <w:rPr>
          <w:rFonts w:ascii="Arial" w:hAnsi="Arial"/>
          <w:sz w:val="22"/>
        </w:rPr>
        <w:t>Demonstrated that Delta power decreases over time during sustained Focus (reflecting maintained alertness, slope = -0.0022 log10(V²/Hz)/sec in D1, -0.0076 log10(V²/Hz)/sec in D2) but increases over time during MW (reflecting progressive fatigue or deeper distraction, slope = +0.0053 log10(V²/Hz)/sec in D1, +0.0177 log10(V²/Hz)/sec in D2).</w:t>
      </w:r>
    </w:p>
    <w:p>
      <w:pPr>
        <w:pStyle w:val="ListBullet"/>
        <w:spacing w:after="80"/>
      </w:pPr>
      <w:r>
        <w:rPr>
          <w:rFonts w:ascii="Arial" w:hAnsi="Arial"/>
          <w:b/>
          <w:sz w:val="22"/>
        </w:rPr>
        <w:t xml:space="preserve">Theta Band (4–8 Hz) Elevation: </w:t>
      </w:r>
      <w:r>
        <w:rPr>
          <w:rFonts w:ascii="Arial" w:hAnsi="Arial"/>
          <w:sz w:val="22"/>
        </w:rPr>
        <w:t>Confirmed that frontocentral Theta power is elevated during MW across both datasets (highly significant in Dataset 2 with +0.0488 log10(V²/Hz) difference, p &lt; 0.001; positive trend of +0.0816 log10(V²/Hz) in Dataset 1), linking mind-wandering to active internal cognitive processing and memory retrieval.</w:t>
      </w:r>
    </w:p>
    <w:p>
      <w:pPr>
        <w:pStyle w:val="ListBullet"/>
        <w:spacing w:after="80"/>
      </w:pPr>
      <w:r>
        <w:rPr>
          <w:rFonts w:ascii="Arial" w:hAnsi="Arial"/>
          <w:b/>
          <w:sz w:val="22"/>
        </w:rPr>
        <w:t xml:space="preserve">Gamma Band (30–45 Hz) Suppression: </w:t>
      </w:r>
      <w:r>
        <w:rPr>
          <w:rFonts w:ascii="Arial" w:hAnsi="Arial"/>
          <w:sz w:val="22"/>
        </w:rPr>
        <w:t>Discovered consistent suppression of Gamma power during MW with nearly identical effect sizes (~-0.032 log10(V²/Hz) in Dataset 1, ~-0.031 log10(V²/Hz) in Dataset 2), representing active "sensory decoupling" from external task inputs.</w:t>
      </w:r>
    </w:p>
    <w:p>
      <w:pPr>
        <w:pStyle w:val="ListBullet"/>
        <w:spacing w:after="80"/>
      </w:pPr>
      <w:r>
        <w:rPr>
          <w:rFonts w:ascii="Arial" w:hAnsi="Arial"/>
          <w:b/>
          <w:sz w:val="22"/>
        </w:rPr>
        <w:t xml:space="preserve">Beta Band (13–30 Hz) Insignificance: </w:t>
      </w:r>
      <w:r>
        <w:rPr>
          <w:rFonts w:ascii="Arial" w:hAnsi="Arial"/>
          <w:sz w:val="22"/>
        </w:rPr>
        <w:t>Established that Beta power changes (-0.0494 log10(V²/Hz) in Dataset 1, -0.0094 log10(V²/Hz) in Dataset 2) are not statistically significant markers for differentiating Focus from MW in either dataset.</w:t>
      </w:r>
    </w:p>
    <w:p>
      <w:pPr>
        <w:spacing w:before="280" w:after="120"/>
      </w:pPr>
      <w:r>
        <w:rPr>
          <w:rFonts w:ascii="Arial" w:hAnsi="Arial"/>
          <w:b/>
          <w:sz w:val="26"/>
        </w:rPr>
        <w:t>2. Feature Engineering &amp; Importance Insights</w:t>
      </w:r>
    </w:p>
    <w:p>
      <w:pPr>
        <w:pStyle w:val="ListBullet"/>
        <w:spacing w:after="80"/>
      </w:pPr>
      <w:r>
        <w:rPr>
          <w:rFonts w:ascii="Arial" w:hAnsi="Arial"/>
          <w:b/>
          <w:sz w:val="22"/>
        </w:rPr>
        <w:t xml:space="preserve">Primacy of Spectral Power: </w:t>
      </w:r>
      <w:r>
        <w:rPr>
          <w:rFonts w:ascii="Arial" w:hAnsi="Arial"/>
          <w:sz w:val="22"/>
        </w:rPr>
        <w:t>Established band-power features (ranging across Delta, Theta, Alpha, Beta, and Gamma) as the primary overall classification driver, accounting for the largest share of total feature importance (50.4% in Dataset 1 and 41.5% in Dataset 2).</w:t>
      </w:r>
    </w:p>
    <w:p>
      <w:pPr>
        <w:pStyle w:val="ListBullet"/>
        <w:spacing w:after="80"/>
      </w:pPr>
      <w:r>
        <w:rPr>
          <w:rFonts w:ascii="Arial" w:hAnsi="Arial"/>
          <w:b/>
          <w:sz w:val="22"/>
        </w:rPr>
        <w:t xml:space="preserve">Hjorth Feature Information Density: </w:t>
      </w:r>
      <w:r>
        <w:rPr>
          <w:rFonts w:ascii="Arial" w:hAnsi="Arial"/>
          <w:sz w:val="22"/>
        </w:rPr>
        <w:t>Highlighted Hjorth parameters (Activity, Mobility, Complexity) as highly informative, carrying the highest mean relative importance per feature in Dataset 1 (0.0071 or 0.71% per feature) and remaining highly predictive in Dataset 2 (mean 0.00055 or 0.055% per feature).</w:t>
      </w:r>
    </w:p>
    <w:p>
      <w:pPr>
        <w:pStyle w:val="ListBullet"/>
        <w:spacing w:after="80"/>
      </w:pPr>
      <w:r>
        <w:rPr>
          <w:rFonts w:ascii="Arial" w:hAnsi="Arial"/>
          <w:b/>
          <w:sz w:val="22"/>
        </w:rPr>
        <w:t xml:space="preserve">Functional Connectivity Redundancy: </w:t>
      </w:r>
      <w:r>
        <w:rPr>
          <w:rFonts w:ascii="Arial" w:hAnsi="Arial"/>
          <w:sz w:val="22"/>
        </w:rPr>
        <w:t>Demonstrated that phase-based functional connectivity (Phase Locking Value) contributes minimally to classification (&lt;3.2% total importance) despite constituting the largest portion of the feature space (361 features in D1, 4096 features in D2), indicating that MW is characterized by localized spectral shifts rather than changes in remote phase-locking networks.</w:t>
      </w:r>
    </w:p>
    <w:p>
      <w:pPr>
        <w:spacing w:before="280" w:after="120"/>
      </w:pPr>
      <w:r>
        <w:rPr>
          <w:rFonts w:ascii="Arial" w:hAnsi="Arial"/>
          <w:b/>
          <w:sz w:val="26"/>
        </w:rPr>
        <w:t>3. Machine Learning &amp; Preprocessing Insights</w:t>
      </w:r>
    </w:p>
    <w:p>
      <w:pPr>
        <w:pStyle w:val="ListBullet"/>
        <w:spacing w:after="80"/>
      </w:pPr>
      <w:r>
        <w:t>Classifier Comparison: Confirmed that the non-linear Deep MLP achieves the highest overall performance (0.85 accuracy in Dataset 2). However, standard linear classifiers (SVM and Logistic Regression) upgraded with the 35-feature extended set in Dataset 2 reach 0.75 - 0.76 accuracy, outperforming the tree-based Extra Trees classifier (0.71), indicating that linear boundaries are highly competitive on dense layouts when supplied with rich spatial-temporal-spectral features.</w:t>
      </w:r>
    </w:p>
    <w:p>
      <w:pPr>
        <w:pStyle w:val="ListBullet"/>
        <w:spacing w:after="80"/>
      </w:pPr>
      <w:r>
        <w:t>Preprocessing Impact: Evaluated raw vs. ICA-cleaned EEG, showing that ICA cleaning has negligible impact on lower-density setups (19 channels). On high-density setups (64 channels), it slightly degrades SVM performance (accuracy dropping from 0.75 to 0.68) but leaves Logistic Regression performance stable (accuracy increasing from 0.75 to 0.76).</w:t>
      </w:r>
    </w:p>
    <w:p>
      <w:pPr>
        <w:spacing w:before="280" w:after="120"/>
      </w:pPr>
      <w:r>
        <w:rPr>
          <w:rFonts w:ascii="Arial" w:hAnsi="Arial"/>
          <w:b/>
          <w:sz w:val="26"/>
        </w:rPr>
        <w:t>4. Spatial Dynamics of Attention</w:t>
      </w:r>
    </w:p>
    <w:p>
      <w:pPr>
        <w:pStyle w:val="ListBullet"/>
        <w:spacing w:after="80"/>
      </w:pPr>
      <w:r>
        <w:t>Region-Specific Predictability: For Dataset 1, Central/Temporal electrodes remain the primary spatial carriers of mind-wandering signals. For Dataset 2, the addition of the extended feature set shows that Frontal (0.76 accuracy) and Central/Temporal (0.75 accuracy) electrodes yield the highest standalone classification power, while Posterior electrodes are weaker (0.71 accuracy).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