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8.png" ContentType="image/png"/>
  <Override PartName="/word/media/rId44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82.png" ContentType="image/png"/>
  <Override PartName="/word/media/rId65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5" w:name="Xd894400b02cd357ee5cf490082c4f1090d9508a"/>
    <w:p>
      <w:pPr>
        <w:pStyle w:val="Heading1"/>
      </w:pPr>
      <w:r>
        <w:t xml:space="preserve">Architectuurverslag — OpenMRS Communicatiemodule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OpenMRS Communicatiemodule (ATIx IN-B2.4 Softwarearchitectuur &amp; -kwaliteit)</w:t>
      </w:r>
      <w:r>
        <w:t xml:space="preserve"> </w:t>
      </w:r>
      <w:r>
        <w:rPr>
          <w:b/>
          <w:bCs/>
        </w:rPr>
        <w:t xml:space="preserve">Auteurs:</w:t>
      </w:r>
      <w:r>
        <w:t xml:space="preserve"> </w:t>
      </w:r>
      <w:r>
        <w:t xml:space="preserve">projectteam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2026-05-25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definitief — synchroon met ADR’s 0001–0015 en C4-diagrammen 01–09</w:t>
      </w:r>
    </w:p>
    <w:p>
      <w:pPr>
        <w:pStyle w:val="BodyText"/>
      </w:pPr>
      <w:r>
        <w:t xml:space="preserve">Dit verslag bundelt de architectuurkeuzes en -diagrammen van de OpenMRS Communicatiemodule tot één leesbaar geheel. De</w:t>
      </w:r>
      <w:r>
        <w:t xml:space="preserve"> </w:t>
      </w:r>
      <w:hyperlink r:id="rId9">
        <w:r>
          <w:rPr>
            <w:rStyle w:val="Hyperlink"/>
          </w:rPr>
          <w:t xml:space="preserve">ADR-index</w:t>
        </w:r>
      </w:hyperlink>
      <w:r>
        <w:t xml:space="preserve"> </w:t>
      </w:r>
      <w:r>
        <w:t xml:space="preserve">is de bron voor</w:t>
      </w:r>
      <w:r>
        <w:t xml:space="preserve"> </w:t>
      </w:r>
      <w:r>
        <w:rPr>
          <w:i/>
          <w:iCs/>
        </w:rPr>
        <w:t xml:space="preserve">waarom</w:t>
      </w:r>
      <w:r>
        <w:t xml:space="preserve"> </w:t>
      </w:r>
      <w:r>
        <w:t xml:space="preserve">een keuze gemaakt is; de</w:t>
      </w:r>
      <w:r>
        <w:t xml:space="preserve"> </w:t>
      </w:r>
      <w:hyperlink r:id="rId10">
        <w:r>
          <w:rPr>
            <w:rStyle w:val="Hyperlink"/>
          </w:rPr>
          <w:t xml:space="preserve">C4-map</w:t>
        </w:r>
      </w:hyperlink>
      <w:r>
        <w:t xml:space="preserve"> </w:t>
      </w:r>
      <w:r>
        <w:t xml:space="preserve">levert de visuele</w:t>
      </w:r>
      <w:r>
        <w:t xml:space="preserve"> </w:t>
      </w:r>
      <w:r>
        <w:rPr>
          <w:i/>
          <w:iCs/>
        </w:rPr>
        <w:t xml:space="preserve">wat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hoe</w:t>
      </w:r>
      <w:r>
        <w:t xml:space="preserve">. Dit document koppelt beide en plaatst ze in de context van de eisen.</w:t>
      </w:r>
    </w:p>
    <w:p>
      <w:r>
        <w:pict>
          <v:rect style="width:0;height:1.5pt" o:hralign="center" o:hrstd="t" o:hr="t"/>
        </w:pict>
      </w:r>
    </w:p>
    <w:bookmarkStart w:id="24" w:name="inleiding"/>
    <w:p>
      <w:pPr>
        <w:pStyle w:val="Heading2"/>
      </w:pPr>
      <w:r>
        <w:t xml:space="preserve">1. Inleiding</w:t>
      </w:r>
    </w:p>
    <w:bookmarkStart w:id="11" w:name="probleem-en-doel"/>
    <w:p>
      <w:pPr>
        <w:pStyle w:val="Heading3"/>
      </w:pPr>
      <w:r>
        <w:t xml:space="preserve">1.1 Probleem en doel</w:t>
      </w:r>
    </w:p>
    <w:p>
      <w:pPr>
        <w:pStyle w:val="FirstParagraph"/>
      </w:pPr>
      <w:r>
        <w:t xml:space="preserve">OpenMRS — een open-source elektronisch patiëntendossier — mist een betrouwbare manier om patiënten automatisch te herinneren aan hun afspraken en om zorgmedewerkers ad-hoc berichten te laten versturen. Gemiste afspraken kosten klinieken geld en patiënten zorg.</w:t>
      </w:r>
    </w:p>
    <w:p>
      <w:pPr>
        <w:pStyle w:val="BodyText"/>
      </w:pPr>
      <w:r>
        <w:t xml:space="preserve">De</w:t>
      </w:r>
      <w:r>
        <w:t xml:space="preserve"> </w:t>
      </w:r>
      <w:r>
        <w:rPr>
          <w:b/>
          <w:bCs/>
        </w:rPr>
        <w:t xml:space="preserve">OpenMRS Communicatiemodule</w:t>
      </w:r>
      <w:r>
        <w:t xml:space="preserve"> </w:t>
      </w:r>
      <w:r>
        <w:t xml:space="preserve">vult dat gat. Het is een zelfstandig SaaS-systeem dat:</w:t>
      </w:r>
    </w:p>
    <w:p>
      <w:pPr>
        <w:pStyle w:val="Compact"/>
        <w:numPr>
          <w:ilvl w:val="0"/>
          <w:numId w:val="1001"/>
        </w:numPr>
      </w:pPr>
      <w:r>
        <w:t xml:space="preserve">afspraak-events uit OpenMRS ontvangt via een signed webhook;</w:t>
      </w:r>
    </w:p>
    <w:p>
      <w:pPr>
        <w:pStyle w:val="Compact"/>
        <w:numPr>
          <w:ilvl w:val="0"/>
          <w:numId w:val="1001"/>
        </w:numPr>
      </w:pPr>
      <w:r>
        <w:t xml:space="preserve">patiënten automatisch herinnert (24 uur en 1 uur vooraf) via één van vier messaging-providers;</w:t>
      </w:r>
    </w:p>
    <w:p>
      <w:pPr>
        <w:pStyle w:val="Compact"/>
        <w:numPr>
          <w:ilvl w:val="0"/>
          <w:numId w:val="1001"/>
        </w:numPr>
      </w:pPr>
      <w:r>
        <w:t xml:space="preserve">zorgmedewerkers een webinterface biedt om handmatig berichten te sturen, patiënten te zoeken en berichthistorie te raadplegen;</w:t>
      </w:r>
    </w:p>
    <w:p>
      <w:pPr>
        <w:pStyle w:val="Compact"/>
        <w:numPr>
          <w:ilvl w:val="0"/>
          <w:numId w:val="1001"/>
        </w:numPr>
      </w:pPr>
      <w:r>
        <w:t xml:space="preserve">patiëntdata versleuteld opslaat en binnen 14 dagen verwijdert volgens GDPR-principes.</w:t>
      </w:r>
    </w:p>
    <w:bookmarkEnd w:id="11"/>
    <w:bookmarkStart w:id="23" w:name="leeswijzer"/>
    <w:p>
      <w:pPr>
        <w:pStyle w:val="Heading3"/>
      </w:pPr>
      <w:r>
        <w:t xml:space="preserve">1.2 Leeswijzer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Sectie</w:t>
            </w:r>
          </w:p>
        </w:tc>
        <w:tc>
          <w:tcPr/>
          <w:p>
            <w:pPr>
              <w:pStyle w:val="Compact"/>
            </w:pPr>
            <w:r>
              <w:t xml:space="preserve">Onderwerp</w:t>
            </w:r>
          </w:p>
        </w:tc>
        <w:tc>
          <w:tcPr/>
          <w:p>
            <w:pPr>
              <w:pStyle w:val="Compact"/>
            </w:pPr>
            <w:r>
              <w:t xml:space="preserve">Bron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Actoren en use cases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06-use-case.md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Systeemcontext (C4 L1)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01-context.md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Containers (C4 L2)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02-containers.md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Componenten (C4 L3)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03-components.md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Domeinmodel &amp; data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05-class-diagram.md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08-er-diagram.md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Belangrijkste flows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04-reminder-process.md</w:t>
              </w:r>
            </w:hyperlink>
            <w:r>
              <w:t xml:space="preserve">,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07-user-flow.md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Architectuurbeslissingen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adr/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Kwaliteitsattributen (NFR’s)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requirements.md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09-deployment.md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t xml:space="preserve">Risico’s &amp; vervolgstappen</w:t>
            </w:r>
          </w:p>
        </w:tc>
        <w:tc>
          <w:tcPr/>
          <w:p>
            <w:pPr>
              <w:pStyle w:val="Compact"/>
            </w:pPr>
            <w:r>
              <w:t xml:space="preserve">dit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actoren-en-use-cases"/>
    <w:p>
      <w:pPr>
        <w:pStyle w:val="Heading2"/>
      </w:pPr>
      <w:r>
        <w:t xml:space="preserve">2. Actoren en use cases</w:t>
      </w:r>
    </w:p>
    <w:p>
      <w:pPr>
        <w:pStyle w:val="FirstParagraph"/>
      </w:pPr>
      <w:r>
        <w:t xml:space="preserve">Het systeem dient vijf actoren (</w:t>
      </w:r>
      <w:hyperlink r:id="rId12">
        <w:r>
          <w:rPr>
            <w:rStyle w:val="Hyperlink"/>
          </w:rPr>
          <w:t xml:space="preserve">06-use-case.md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Belangrijkste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Zorgmedewerker</w:t>
            </w:r>
          </w:p>
        </w:tc>
        <w:tc>
          <w:tcPr/>
          <w:p>
            <w:pPr>
              <w:pStyle w:val="Compact"/>
            </w:pPr>
            <w:r>
              <w:t xml:space="preserve">Primaire eindgebruiker. Beheert berichten, raadpleegt patiënten en historie.</w:t>
            </w:r>
          </w:p>
        </w:tc>
        <w:tc>
          <w:tcPr/>
          <w:p>
            <w:pPr>
              <w:pStyle w:val="Compact"/>
            </w:pPr>
            <w:r>
              <w:t xml:space="preserve">UC1 inloggen, UC2 bericht versturen, UC3 historie, UC4–UC6 patiëntdata, UC7 async-status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Patiënt</w:t>
            </w:r>
          </w:p>
        </w:tc>
        <w:tc>
          <w:tcPr/>
          <w:p>
            <w:pPr>
              <w:pStyle w:val="Compact"/>
            </w:pPr>
            <w:r>
              <w:t xml:space="preserve">Indirecte eindgebruiker. Heeft geen directe interface; ontvangt SMS/e-mail.</w:t>
            </w:r>
          </w:p>
        </w:tc>
        <w:tc>
          <w:tcPr/>
          <w:p>
            <w:pPr>
              <w:pStyle w:val="Compact"/>
            </w:pPr>
            <w:r>
              <w:t xml:space="preserve">UC8 herinnering ontvangen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Ontwikkelaar / Beheerder</w:t>
            </w:r>
          </w:p>
        </w:tc>
        <w:tc>
          <w:tcPr/>
          <w:p>
            <w:pPr>
              <w:pStyle w:val="Compact"/>
            </w:pPr>
            <w:r>
              <w:t xml:space="preserve">Operationeel. Triggert reminders en data-retentie handmatig voor test/debug.</w:t>
            </w:r>
          </w:p>
        </w:tc>
        <w:tc>
          <w:tcPr/>
          <w:p>
            <w:pPr>
              <w:pStyle w:val="Compact"/>
            </w:pPr>
            <w:r>
              <w:t xml:space="preserve">UC10 reminder-run, UC11 retentie-run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OpenMRS EMR</w:t>
            </w:r>
          </w:p>
        </w:tc>
        <w:tc>
          <w:tcPr/>
          <w:p>
            <w:pPr>
              <w:pStyle w:val="Compact"/>
            </w:pPr>
            <w:r>
              <w:t xml:space="preserve">Extern systeem. Bron van patiëntcontact en afspraak-events.</w:t>
            </w:r>
          </w:p>
        </w:tc>
        <w:tc>
          <w:tcPr/>
          <w:p>
            <w:pPr>
              <w:pStyle w:val="Compact"/>
            </w:pPr>
            <w:r>
              <w:t xml:space="preserve">UC9 appointment-event verzenden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Messaging Provider</w:t>
            </w:r>
          </w:p>
        </w:tc>
        <w:tc>
          <w:tcPr/>
          <w:p>
            <w:pPr>
              <w:pStyle w:val="Compact"/>
            </w:pPr>
            <w:r>
              <w:t xml:space="preserve">Extern systeem (SwiftSend, SecurePost, LegacyLink, AsyncFlow). Bezorgt feitelijk het bericht.</w:t>
            </w:r>
          </w:p>
        </w:tc>
        <w:tc>
          <w:tcPr/>
          <w:p>
            <w:pPr>
              <w:pStyle w:val="Compact"/>
            </w:pPr>
            <w:r>
              <w:t xml:space="preserve">UC12 bezorging</w:t>
            </w:r>
          </w:p>
        </w:tc>
      </w:tr>
    </w:tbl>
    <w:p>
      <w:pPr>
        <w:pStyle w:val="BodyText"/>
      </w:pPr>
      <w:r>
        <w:t xml:space="preserve">De primaire</w:t>
      </w:r>
      <w:r>
        <w:t xml:space="preserve"> </w:t>
      </w:r>
      <w:r>
        <w:rPr>
          <w:b/>
          <w:bCs/>
        </w:rPr>
        <w:t xml:space="preserve">waardeketen</w:t>
      </w:r>
      <w:r>
        <w:t xml:space="preserve"> </w:t>
      </w:r>
      <w:r>
        <w:t xml:space="preserve">is: OpenMRS → webhook → reminder geplanned in DB → worker → message bus → consumer → provider → patiënt. Daarnaast is er een</w:t>
      </w:r>
      <w:r>
        <w:t xml:space="preserve"> </w:t>
      </w:r>
      <w:r>
        <w:rPr>
          <w:b/>
          <w:bCs/>
        </w:rPr>
        <w:t xml:space="preserve">synchrone ad-hoc keten</w:t>
      </w:r>
      <w:r>
        <w:t xml:space="preserve">: zorgmedewerker → frontend → API → provider.</w:t>
      </w:r>
    </w:p>
    <w:p>
      <w:r>
        <w:pict>
          <v:rect style="width:0;height:1.5pt" o:hralign="center" o:hrstd="t" o:hr="t"/>
        </w:pict>
      </w:r>
    </w:p>
    <w:bookmarkEnd w:id="25"/>
    <w:bookmarkStart w:id="29" w:name="systeemcontext-c4-level-1"/>
    <w:p>
      <w:pPr>
        <w:pStyle w:val="Heading2"/>
      </w:pPr>
      <w:r>
        <w:t xml:space="preserve">3. Systeemcontext (C4 Level 1)</w:t>
      </w:r>
    </w:p>
    <w:p>
      <w:pPr>
        <w:pStyle w:val="CaptionedFigure"/>
      </w:pPr>
      <w:r>
        <w:drawing>
          <wp:inline>
            <wp:extent cx="5334000" cy="877067"/>
            <wp:effectExtent b="0" l="0" r="0" t="0"/>
            <wp:docPr descr="Context-diagram" title="" id="27" name="Picture"/>
            <a:graphic>
              <a:graphicData uri="http://schemas.openxmlformats.org/drawingml/2006/picture">
                <pic:pic>
                  <pic:nvPicPr>
                    <pic:cNvPr descr="c4/images/01-contex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Context-diagram</w:t>
      </w:r>
    </w:p>
    <w:p>
      <w:pPr>
        <w:pStyle w:val="BodyText"/>
      </w:pPr>
      <w:r>
        <w:t xml:space="preserve">Het systeem heeft drie externe afhankelijkheden (</w:t>
      </w:r>
      <w:hyperlink r:id="rId13">
        <w:r>
          <w:rPr>
            <w:rStyle w:val="Hyperlink"/>
          </w:rPr>
          <w:t xml:space="preserve">01-context.md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OpenMRS EMR</w:t>
      </w:r>
      <w:r>
        <w:t xml:space="preserve"> </w:t>
      </w:r>
      <w:r>
        <w:t xml:space="preserve">— leverancier van patiëntdata (FHIR R4) én bron van appointment-events (signed webhook).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Messaging Providers</w:t>
      </w:r>
      <w:r>
        <w:t xml:space="preserve"> </w:t>
      </w:r>
      <w:r>
        <w:t xml:space="preserve">— vier providers met verschillende protocollen en authenticatie:</w:t>
      </w:r>
    </w:p>
    <w:p>
      <w:pPr>
        <w:pStyle w:val="Compact"/>
        <w:numPr>
          <w:ilvl w:val="1"/>
          <w:numId w:val="1003"/>
        </w:numPr>
      </w:pPr>
      <w:r>
        <w:t xml:space="preserve">SwiftSend (REST, X-API-KEY, 10/min rate-limit)</w:t>
      </w:r>
    </w:p>
    <w:p>
      <w:pPr>
        <w:pStyle w:val="Compact"/>
        <w:numPr>
          <w:ilvl w:val="1"/>
          <w:numId w:val="1003"/>
        </w:numPr>
      </w:pPr>
      <w:r>
        <w:t xml:space="preserve">SecurePost (REST, JWT met 3-min expiry, token-cache nodig)</w:t>
      </w:r>
    </w:p>
    <w:p>
      <w:pPr>
        <w:pStyle w:val="Compact"/>
        <w:numPr>
          <w:ilvl w:val="1"/>
          <w:numId w:val="1003"/>
        </w:numPr>
      </w:pPr>
      <w:r>
        <w:t xml:space="preserve">LegacyLink (SOAP/XML, HTTP Basic, alleen SMS, per ontvanger)</w:t>
      </w:r>
    </w:p>
    <w:p>
      <w:pPr>
        <w:pStyle w:val="Compact"/>
        <w:numPr>
          <w:ilvl w:val="1"/>
          <w:numId w:val="1003"/>
        </w:numPr>
      </w:pPr>
      <w:r>
        <w:t xml:space="preserve">AsyncFlow (REST, X-API-KEY, submit + poll-pattern)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Zorgmedewerker</w:t>
      </w:r>
      <w:r>
        <w:t xml:space="preserve"> </w:t>
      </w:r>
      <w:r>
        <w:t xml:space="preserve">— verbindt via browser/HTTPS met de frontend.</w:t>
      </w:r>
    </w:p>
    <w:p>
      <w:pPr>
        <w:pStyle w:val="FirstParagraph"/>
      </w:pPr>
      <w:r>
        <w:t xml:space="preserve">De keuze om</w:t>
      </w:r>
      <w:r>
        <w:t xml:space="preserve"> </w:t>
      </w:r>
      <w:r>
        <w:rPr>
          <w:b/>
          <w:bCs/>
        </w:rPr>
        <w:t xml:space="preserve">vier heterogene providers</w:t>
      </w:r>
      <w:r>
        <w:t xml:space="preserve"> </w:t>
      </w:r>
      <w:r>
        <w:t xml:space="preserve">te ondersteunen via één uniforme interface dwingt een Strategy Pattern af in de backend (zie §6.2). Dat is geen toeval — het Avans-praktijklab levert deze providers als FakeComWorld bewust met verschillende contracten om integratiekwaliteit te toetsen.</w:t>
      </w:r>
    </w:p>
    <w:p>
      <w:r>
        <w:pict>
          <v:rect style="width:0;height:1.5pt" o:hralign="center" o:hrstd="t" o:hr="t"/>
        </w:pict>
      </w:r>
    </w:p>
    <w:bookmarkEnd w:id="29"/>
    <w:bookmarkStart w:id="36" w:name="containers-c4-level-2"/>
    <w:p>
      <w:pPr>
        <w:pStyle w:val="Heading2"/>
      </w:pPr>
      <w:r>
        <w:t xml:space="preserve">4. Containers (C4 Level 2)</w:t>
      </w:r>
    </w:p>
    <w:p>
      <w:pPr>
        <w:pStyle w:val="CaptionedFigure"/>
      </w:pPr>
      <w:r>
        <w:drawing>
          <wp:inline>
            <wp:extent cx="5334000" cy="3176067"/>
            <wp:effectExtent b="0" l="0" r="0" t="0"/>
            <wp:docPr descr="Container-diagram" title="" id="31" name="Picture"/>
            <a:graphic>
              <a:graphicData uri="http://schemas.openxmlformats.org/drawingml/2006/picture">
                <pic:pic>
                  <pic:nvPicPr>
                    <pic:cNvPr descr="c4/images/02-contain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Container-diagram</w:t>
      </w:r>
    </w:p>
    <w:p>
      <w:pPr>
        <w:pStyle w:val="BodyText"/>
      </w:pPr>
      <w:r>
        <w:t xml:space="preserve">De module bestaat uit vier containers binnen één deployable systeem (</w:t>
      </w:r>
      <w:hyperlink r:id="rId14">
        <w:r>
          <w:rPr>
            <w:rStyle w:val="Hyperlink"/>
          </w:rPr>
          <w:t xml:space="preserve">02-containers.md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Verantwoordelijkheid</w:t>
            </w:r>
          </w:p>
        </w:tc>
        <w:tc>
          <w:tcPr/>
          <w:p>
            <w:pPr>
              <w:pStyle w:val="Compact"/>
            </w:pPr>
            <w:r>
              <w:t xml:space="preserve">Poort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</w:t>
            </w:r>
          </w:p>
        </w:tc>
        <w:tc>
          <w:tcPr/>
          <w:p>
            <w:pPr>
              <w:pStyle w:val="Compact"/>
            </w:pPr>
            <w:r>
              <w:t xml:space="preserve">Login, dashboard, berichten, geschiedenis, patiëntenzoeken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ASP.NET Core 10</w:t>
            </w:r>
          </w:p>
        </w:tc>
        <w:tc>
          <w:tcPr/>
          <w:p>
            <w:pPr>
              <w:pStyle w:val="Compact"/>
            </w:pPr>
            <w:r>
              <w:t xml:space="preserve">REST + JWT, signed webhook-endpoint, reminderscheduling, retentie</w:t>
            </w:r>
          </w:p>
        </w:tc>
        <w:tc>
          <w:tcPr/>
          <w:p>
            <w:pPr>
              <w:pStyle w:val="Compact"/>
            </w:pPr>
            <w:r>
              <w:t xml:space="preserve">5111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t xml:space="preserve">Users, message_logs, reminder_logs, encrypted appointment-data</w:t>
            </w:r>
          </w:p>
        </w:tc>
        <w:tc>
          <w:tcPr/>
          <w:p>
            <w:pPr>
              <w:pStyle w:val="Compact"/>
            </w:pPr>
            <w:r>
              <w:t xml:space="preserve">5432 (intern)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Message Bus</w:t>
            </w:r>
          </w:p>
        </w:tc>
        <w:tc>
          <w:tcPr/>
          <w:p>
            <w:pPr>
              <w:pStyle w:val="Compact"/>
            </w:pPr>
            <w:r>
              <w:t xml:space="preserve">MassTransit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SendReminderCommand</w:t>
            </w:r>
            <w:r>
              <w:t xml:space="preserve"> </w:t>
            </w:r>
            <w:r>
              <w:t xml:space="preserve">— in-memory (dev) / RabbitMQ (prod)</w:t>
            </w:r>
          </w:p>
        </w:tc>
        <w:tc>
          <w:tcPr/>
          <w:p>
            <w:pPr>
              <w:pStyle w:val="Compact"/>
            </w:pPr>
            <w:r>
              <w:t xml:space="preserve">5672 (prod)</w:t>
            </w:r>
          </w:p>
        </w:tc>
      </w:tr>
    </w:tbl>
    <w:p>
      <w:pPr>
        <w:pStyle w:val="BodyText"/>
      </w:pPr>
      <w:r>
        <w:rPr>
          <w:b/>
          <w:bCs/>
        </w:rPr>
        <w:t xml:space="preserve">Waarom deze opdeling?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≠ backend</w:t>
      </w:r>
      <w:r>
        <w:t xml:space="preserve">: het toestaan van onafhankelijke deploys van UI en API maakt iteratie sneller; Next.js levert SSR + rijke client-rendering uit dezelfde codebase (</w:t>
      </w:r>
      <w:hyperlink r:id="rId33">
        <w:r>
          <w:rPr>
            <w:rStyle w:val="Hyperlink"/>
          </w:rPr>
          <w:t xml:space="preserve">ADR-0007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Aparte message bus</w:t>
      </w:r>
      <w:r>
        <w:t xml:space="preserve">: tijdgevoelige werken (reminders 5 minuten resolutie, dagelijkse retentie) mogen het HTTP-request-cycle niet blokkeren (</w:t>
      </w:r>
      <w:hyperlink r:id="rId34">
        <w:r>
          <w:rPr>
            <w:rStyle w:val="Hyperlink"/>
          </w:rPr>
          <w:t xml:space="preserve">ADR-0009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 ipv SQL Server / MySQL</w:t>
      </w:r>
      <w:r>
        <w:t xml:space="preserve">: open source, brede hosting, JSONB + degelijke transactions (</w:t>
      </w:r>
      <w:hyperlink r:id="rId35">
        <w:r>
          <w:rPr>
            <w:rStyle w:val="Hyperlink"/>
          </w:rPr>
          <w:t xml:space="preserve">ADR-0004</w:t>
        </w:r>
      </w:hyperlink>
      <w:r>
        <w:t xml:space="preserve">).</w:t>
      </w:r>
    </w:p>
    <w:p>
      <w:pPr>
        <w:pStyle w:val="FirstParagraph"/>
      </w:pPr>
      <w:r>
        <w:t xml:space="preserve">Een</w:t>
      </w:r>
      <w:r>
        <w:t xml:space="preserve"> </w:t>
      </w:r>
      <w:r>
        <w:rPr>
          <w:b/>
          <w:bCs/>
        </w:rPr>
        <w:t xml:space="preserve">expliciet niet-doel</w:t>
      </w:r>
      <w:r>
        <w:t xml:space="preserve"> </w:t>
      </w:r>
      <w:r>
        <w:t xml:space="preserve">is microservices: de module is zelfstandig deployable en multi-tenant via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-headers, maar interne services lopen in één ASP.NET Core proces (zie §5).</w:t>
      </w:r>
    </w:p>
    <w:p>
      <w:r>
        <w:pict>
          <v:rect style="width:0;height:1.5pt" o:hralign="center" o:hrstd="t" o:hr="t"/>
        </w:pict>
      </w:r>
    </w:p>
    <w:bookmarkEnd w:id="36"/>
    <w:bookmarkStart w:id="48" w:name="componenten-c4-level-3"/>
    <w:p>
      <w:pPr>
        <w:pStyle w:val="Heading2"/>
      </w:pPr>
      <w:r>
        <w:t xml:space="preserve">5. Componenten (C4 Level 3)</w:t>
      </w:r>
    </w:p>
    <w:p>
      <w:pPr>
        <w:pStyle w:val="FirstParagraph"/>
      </w:pPr>
      <w:r>
        <w:t xml:space="preserve">De interne structuur van de backend volgt een</w:t>
      </w:r>
      <w:r>
        <w:t xml:space="preserve"> </w:t>
      </w:r>
      <w:r>
        <w:rPr>
          <w:b/>
          <w:bCs/>
        </w:rPr>
        <w:t xml:space="preserve">layered architectuur binnen één project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ADR-0011</w:t>
        </w:r>
      </w:hyperlink>
      <w:r>
        <w:t xml:space="preserve">). De dependency-richting is</w:t>
      </w:r>
      <w:r>
        <w:t xml:space="preserve"> </w:t>
      </w:r>
      <w:r>
        <w:rPr>
          <w:rStyle w:val="VerbatimChar"/>
        </w:rPr>
        <w:t xml:space="preserve">Api → Application → Domain</w:t>
      </w:r>
      <w:r>
        <w:t xml:space="preserve">, met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 </w:t>
      </w:r>
      <w:r>
        <w:t xml:space="preserve">die interfaces uit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implementeert.</w:t>
      </w:r>
    </w:p>
    <w:bookmarkStart w:id="43" w:name="synchrone-request-flow"/>
    <w:p>
      <w:pPr>
        <w:pStyle w:val="Heading3"/>
      </w:pPr>
      <w:r>
        <w:t xml:space="preserve">5.1 Synchrone request-flow</w:t>
      </w:r>
    </w:p>
    <w:p>
      <w:pPr>
        <w:pStyle w:val="CaptionedFigure"/>
      </w:pPr>
      <w:r>
        <w:drawing>
          <wp:inline>
            <wp:extent cx="5334000" cy="2367186"/>
            <wp:effectExtent b="0" l="0" r="0" t="0"/>
            <wp:docPr descr="Componenten — synchroon" title="" id="39" name="Picture"/>
            <a:graphic>
              <a:graphicData uri="http://schemas.openxmlformats.org/drawingml/2006/picture">
                <pic:pic>
                  <pic:nvPicPr>
                    <pic:cNvPr descr="c4/images/03-components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Componenten — synchroon</w:t>
      </w:r>
    </w:p>
    <w:p>
      <w:pPr>
        <w:pStyle w:val="BodyText"/>
      </w:pPr>
      <w:r>
        <w:t xml:space="preserve">Inkomende HTTP-verkeer (</w:t>
      </w:r>
      <w:hyperlink r:id="rId15">
        <w:r>
          <w:rPr>
            <w:rStyle w:val="Hyperlink"/>
          </w:rPr>
          <w:t xml:space="preserve">03-components.md</w:t>
        </w:r>
      </w:hyperlink>
      <w:r>
        <w:t xml:space="preserve"> </w:t>
      </w:r>
      <w:r>
        <w:t xml:space="preserve">sectie 3a):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Implementatie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IAuthService</w:t>
            </w:r>
          </w:p>
        </w:tc>
        <w:tc>
          <w:tcPr/>
          <w:p>
            <w:pPr>
              <w:pStyle w:val="Compact"/>
            </w:pPr>
            <w:r>
              <w:t xml:space="preserve">ASP.NET Core Identity (</w:t>
            </w:r>
            <w:hyperlink r:id="rId41">
              <w:r>
                <w:rPr>
                  <w:rStyle w:val="Hyperlink"/>
                </w:rPr>
                <w:t xml:space="preserve">ADR-0003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/api/messages/*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IMessagingService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IMessageLogRepository</w:t>
            </w:r>
          </w:p>
        </w:tc>
        <w:tc>
          <w:tcPr/>
          <w:p>
            <w:pPr>
              <w:pStyle w:val="Compact"/>
            </w:pPr>
            <w:r>
              <w:t xml:space="preserve">Strategy: vier providers (§6.2)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OpenMrsController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/api/openmrs/*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IOpenMrsService</w:t>
            </w:r>
          </w:p>
        </w:tc>
        <w:tc>
          <w:tcPr/>
          <w:p>
            <w:pPr>
              <w:pStyle w:val="Compact"/>
            </w:pPr>
            <w:r>
              <w:t xml:space="preserve">FHIR R4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OpenMrsWebhooksController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/api/webhooks/openmrs/*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WebhookSignatureValidator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IOpenMrsWebhookService</w:t>
            </w:r>
          </w:p>
        </w:tc>
        <w:tc>
          <w:tcPr/>
          <w:p>
            <w:pPr>
              <w:pStyle w:val="Compact"/>
            </w:pPr>
            <w:r>
              <w:t xml:space="preserve">HMAC + EF + AES-GCM (</w:t>
            </w:r>
            <w:hyperlink r:id="rId42">
              <w:r>
                <w:rPr>
                  <w:rStyle w:val="Hyperlink"/>
                </w:rPr>
                <w:t xml:space="preserve">ADR-0012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/api/reminders/*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ReminderWorker.ProcessAsync()</w:t>
            </w:r>
          </w:p>
        </w:tc>
        <w:tc>
          <w:tcPr/>
          <w:p>
            <w:pPr>
              <w:pStyle w:val="Compact"/>
            </w:pPr>
            <w:r>
              <w:t xml:space="preserve">Handmatige trigger (UC10)</w:t>
            </w:r>
          </w:p>
        </w:tc>
      </w:tr>
    </w:tbl>
    <w:p>
      <w:pPr>
        <w:pStyle w:val="BodyText"/>
      </w:pPr>
      <w:r>
        <w:t xml:space="preserve">De</w:t>
      </w:r>
      <w:r>
        <w:t xml:space="preserve"> </w:t>
      </w:r>
      <w:r>
        <w:rPr>
          <w:b/>
          <w:bCs/>
        </w:rPr>
        <w:t xml:space="preserve">kritieke observatie</w:t>
      </w:r>
      <w:r>
        <w:t xml:space="preserve"> </w:t>
      </w:r>
      <w:r>
        <w:t xml:space="preserve">is dat de webhookcontroller eerst signatuurvalidatie doet</w:t>
      </w:r>
      <w:r>
        <w:t xml:space="preserve"> </w:t>
      </w:r>
      <w:r>
        <w:rPr>
          <w:i/>
          <w:iCs/>
        </w:rPr>
        <w:t xml:space="preserve">vóór</w:t>
      </w:r>
      <w:r>
        <w:t xml:space="preserve"> </w:t>
      </w:r>
      <w:r>
        <w:t xml:space="preserve">hij ook maar één byte van de payload aan business-code geeft. Dit is een bewuste defense-in-depth keuze: een ongeldige HMAC raakt nooit de DB.</w:t>
      </w:r>
    </w:p>
    <w:bookmarkEnd w:id="43"/>
    <w:bookmarkStart w:id="47" w:name="asynchrone-background-flow"/>
    <w:p>
      <w:pPr>
        <w:pStyle w:val="Heading3"/>
      </w:pPr>
      <w:r>
        <w:t xml:space="preserve">5.2 Asynchrone background-flow</w:t>
      </w:r>
    </w:p>
    <w:p>
      <w:pPr>
        <w:pStyle w:val="CaptionedFigure"/>
      </w:pPr>
      <w:r>
        <w:drawing>
          <wp:inline>
            <wp:extent cx="5334000" cy="2317735"/>
            <wp:effectExtent b="0" l="0" r="0" t="0"/>
            <wp:docPr descr="Componenten — async" title="" id="45" name="Picture"/>
            <a:graphic>
              <a:graphicData uri="http://schemas.openxmlformats.org/drawingml/2006/picture">
                <pic:pic>
                  <pic:nvPicPr>
                    <pic:cNvPr descr="c4/images/03-components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Componenten — async</w:t>
      </w:r>
    </w:p>
    <w:p>
      <w:pPr>
        <w:pStyle w:val="BodyText"/>
      </w:pPr>
      <w:r>
        <w:t xml:space="preserve">Workers en consumers (</w:t>
      </w:r>
      <w:hyperlink r:id="rId15">
        <w:r>
          <w:rPr>
            <w:rStyle w:val="Hyperlink"/>
          </w:rPr>
          <w:t xml:space="preserve">03-components.md</w:t>
        </w:r>
      </w:hyperlink>
      <w:r>
        <w:t xml:space="preserve"> </w:t>
      </w:r>
      <w:r>
        <w:t xml:space="preserve">sectie 3b):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Frequentie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IHostedService</w:t>
            </w:r>
          </w:p>
        </w:tc>
        <w:tc>
          <w:tcPr/>
          <w:p>
            <w:pPr>
              <w:pStyle w:val="Compact"/>
            </w:pPr>
            <w:r>
              <w:t xml:space="preserve">elke 5 min</w:t>
            </w:r>
          </w:p>
        </w:tc>
        <w:tc>
          <w:tcPr/>
          <w:p>
            <w:pPr>
              <w:pStyle w:val="Compact"/>
            </w:pPr>
            <w:r>
              <w:t xml:space="preserve">Claimt due reminders, publiceert</w:t>
            </w:r>
            <w:r>
              <w:t xml:space="preserve"> </w:t>
            </w:r>
            <w:r>
              <w:rPr>
                <w:rStyle w:val="VerbatimChar"/>
              </w:rPr>
              <w:t xml:space="preserve">SendReminderCommand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SendReminderConsumer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IConsumer&lt;SendReminderCommand&gt;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Haalt patiëntcontact op, verstuurt via provider, logt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DataRetentionWorker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IHostedService</w:t>
            </w:r>
          </w:p>
        </w:tc>
        <w:tc>
          <w:tcPr/>
          <w:p>
            <w:pPr>
              <w:pStyle w:val="Compact"/>
            </w:pPr>
            <w:r>
              <w:t xml:space="preserve">elke 24 uur</w:t>
            </w:r>
          </w:p>
        </w:tc>
        <w:tc>
          <w:tcPr/>
          <w:p>
            <w:pPr>
              <w:pStyle w:val="Compact"/>
            </w:pPr>
            <w:r>
              <w:t xml:space="preserve">Verwijdert verlopen data conform §9 retentiebeleid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MessagingMetrics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  <w:tc>
          <w:tcPr/>
          <w:p>
            <w:pPr>
              <w:pStyle w:val="Compact"/>
            </w:pPr>
            <w:r>
              <w:t xml:space="preserve">continu</w:t>
            </w:r>
          </w:p>
        </w:tc>
        <w:tc>
          <w:tcPr/>
          <w:p>
            <w:pPr>
              <w:pStyle w:val="Compact"/>
            </w:pPr>
            <w:r>
              <w:t xml:space="preserve">Telemetry naar Prometheus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Waarom worker + consumer in plaats van direct verzenden vanuit de webhook?</w:t>
      </w:r>
      <w:r>
        <w:t xml:space="preserve"> </w:t>
      </w:r>
      <w:r>
        <w:t xml:space="preserve">Drie redenen: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Idempotency</w:t>
      </w:r>
      <w:r>
        <w:t xml:space="preserve"> </w:t>
      </w:r>
      <w:r>
        <w:t xml:space="preserve">— de consumer doet</w:t>
      </w:r>
      <w:r>
        <w:t xml:space="preserve"> </w:t>
      </w:r>
      <w:r>
        <w:rPr>
          <w:rStyle w:val="VerbatimChar"/>
        </w:rPr>
        <w:t xml:space="preserve">AlreadySentAsync(encounterId, window)</w:t>
      </w:r>
      <w:r>
        <w:t xml:space="preserve"> </w:t>
      </w:r>
      <w:r>
        <w:t xml:space="preserve">zodat dubbele webhook-events nooit dubbele berichten produceren.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— MassTransit retried 3× met backoff voordat het naar een dead-letter queue gaat; iets wat in-controller-code lastig is.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Schedulebaarheid</w:t>
      </w:r>
      <w:r>
        <w:t xml:space="preserve"> </w:t>
      </w:r>
      <w:r>
        <w:t xml:space="preserve">— een afspraak op donderdag om 14:00 moet een 24h-reminder op woensdag 14:00 krijgen. De webhook landt nu, niet morgen.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9" w:name="domeinmodel-en-dataopslag"/>
    <w:p>
      <w:pPr>
        <w:pStyle w:val="Heading2"/>
      </w:pPr>
      <w:r>
        <w:t xml:space="preserve">6. Domeinmodel en dataopslag</w:t>
      </w:r>
    </w:p>
    <w:bookmarkStart w:id="52" w:name="domeinentiteiten"/>
    <w:p>
      <w:pPr>
        <w:pStyle w:val="Heading3"/>
      </w:pPr>
      <w:r>
        <w:t xml:space="preserve">6.1 Domeinentiteiten</w:t>
      </w:r>
    </w:p>
    <w:p>
      <w:pPr>
        <w:pStyle w:val="CaptionedFigure"/>
      </w:pPr>
      <w:r>
        <w:drawing>
          <wp:inline>
            <wp:extent cx="5334000" cy="2256692"/>
            <wp:effectExtent b="0" l="0" r="0" t="0"/>
            <wp:docPr descr="Klassediagram — domein" title="" id="50" name="Picture"/>
            <a:graphic>
              <a:graphicData uri="http://schemas.openxmlformats.org/drawingml/2006/picture">
                <pic:pic>
                  <pic:nvPicPr>
                    <pic:cNvPr descr="c4/images/05-class-diagram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Klassediagram — domein</w:t>
      </w:r>
    </w:p>
    <w:p>
      <w:pPr>
        <w:pStyle w:val="BodyText"/>
      </w:pPr>
      <w:r>
        <w:t xml:space="preserve">Drie kern-entities (</w:t>
      </w:r>
      <w:hyperlink r:id="rId16">
        <w:r>
          <w:rPr>
            <w:rStyle w:val="Hyperlink"/>
          </w:rPr>
          <w:t xml:space="preserve">05-class-diagram.md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identiteit van een zorgmedewerker. E-mail is AES-256-GCM versleuteld;</w:t>
      </w:r>
      <w:r>
        <w:t xml:space="preserve"> </w:t>
      </w:r>
      <w:r>
        <w:rPr>
          <w:rStyle w:val="VerbatimChar"/>
        </w:rPr>
        <w:t xml:space="preserve">email_hash</w:t>
      </w:r>
      <w:r>
        <w:t xml:space="preserve"> </w:t>
      </w:r>
      <w:r>
        <w:t xml:space="preserve">(HMAC-SHA256) is de deterministische lookup-kolom voor login en uniciteitscheck.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MessageLog</w:t>
      </w:r>
      <w:r>
        <w:t xml:space="preserve"> </w:t>
      </w:r>
      <w:r>
        <w:t xml:space="preserve">— audit-record per uitgaand bericht: provider, type, success, recipient_count. Geen PII. Retentie 365 dagen.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ReminderLog</w:t>
      </w:r>
      <w:r>
        <w:t xml:space="preserve"> </w:t>
      </w:r>
      <w:r>
        <w:t xml:space="preserve">— audit-record per herinnering.</w:t>
      </w:r>
      <w:r>
        <w:t xml:space="preserve"> </w:t>
      </w:r>
      <w:r>
        <w:rPr>
          <w:rStyle w:val="VerbatimChar"/>
        </w:rPr>
        <w:t xml:space="preserve">encounter_id</w:t>
      </w:r>
      <w:r>
        <w:t xml:space="preserve"> </w:t>
      </w:r>
      <w:r>
        <w:t xml:space="preserve">is versleuteld;</w:t>
      </w:r>
      <w:r>
        <w:t xml:space="preserve"> </w:t>
      </w:r>
      <w:r>
        <w:rPr>
          <w:rStyle w:val="VerbatimChar"/>
        </w:rPr>
        <w:t xml:space="preserve">encounter_id_hash</w:t>
      </w:r>
      <w:r>
        <w:t xml:space="preserve"> </w:t>
      </w:r>
      <w:r>
        <w:t xml:space="preserve">ondersteunt de idempotency-check. Retentie 14 dagen (bevat patiëntcontext).</w:t>
      </w:r>
    </w:p>
    <w:bookmarkEnd w:id="52"/>
    <w:bookmarkStart w:id="56" w:name="messaging-providers-strategy-pattern"/>
    <w:p>
      <w:pPr>
        <w:pStyle w:val="Heading3"/>
      </w:pPr>
      <w:r>
        <w:t xml:space="preserve">6.2 Messaging providers — Strategy Pattern</w:t>
      </w:r>
    </w:p>
    <w:p>
      <w:pPr>
        <w:pStyle w:val="CaptionedFigure"/>
      </w:pPr>
      <w:r>
        <w:drawing>
          <wp:inline>
            <wp:extent cx="5334000" cy="3277358"/>
            <wp:effectExtent b="0" l="0" r="0" t="0"/>
            <wp:docPr descr="Klassediagram — providers" title="" id="54" name="Picture"/>
            <a:graphic>
              <a:graphicData uri="http://schemas.openxmlformats.org/drawingml/2006/picture">
                <pic:pic>
                  <pic:nvPicPr>
                    <pic:cNvPr descr="c4/images/05-class-diagram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Klassediagram — providers</w:t>
      </w:r>
    </w:p>
    <w:p>
      <w:pPr>
        <w:pStyle w:val="SourceCode"/>
      </w:pPr>
      <w:r>
        <w:rPr>
          <w:rStyle w:val="VerbatimChar"/>
        </w:rPr>
        <w:t xml:space="preserve">IMessageProvider (interface)</w:t>
      </w:r>
      <w:r>
        <w:br/>
      </w:r>
      <w:r>
        <w:rPr>
          <w:rStyle w:val="VerbatimChar"/>
        </w:rPr>
        <w:t xml:space="preserve"> ├── SwiftSendProvider     (X-API-KEY)</w:t>
      </w:r>
      <w:r>
        <w:br/>
      </w:r>
      <w:r>
        <w:rPr>
          <w:rStyle w:val="VerbatimChar"/>
        </w:rPr>
        <w:t xml:space="preserve"> ├── SecurePostProvider    (JWT met token-cache + SemaphoreSlim)</w:t>
      </w:r>
      <w:r>
        <w:br/>
      </w:r>
      <w:r>
        <w:rPr>
          <w:rStyle w:val="VerbatimChar"/>
        </w:rPr>
        <w:t xml:space="preserve"> ├── LegacyLinkProvider    (SOAP/Basic, SMS only)</w:t>
      </w:r>
      <w:r>
        <w:br/>
      </w:r>
      <w:r>
        <w:rPr>
          <w:rStyle w:val="VerbatimChar"/>
        </w:rPr>
        <w:t xml:space="preserve"> └── AsyncFlowProvider     (X-API-KEY, implementeert óók IAsyncMessageProvider)</w:t>
      </w:r>
    </w:p>
    <w:p>
      <w:pPr>
        <w:pStyle w:val="FirstParagraph"/>
      </w:pPr>
      <w:r>
        <w:rPr>
          <w:rStyle w:val="VerbatimChar"/>
        </w:rPr>
        <w:t xml:space="preserve">MessagingService</w:t>
      </w:r>
      <w:r>
        <w:t xml:space="preserve"> </w:t>
      </w:r>
      <w:r>
        <w:t xml:space="preserve">houdt een</w:t>
      </w:r>
      <w:r>
        <w:t xml:space="preserve"> </w:t>
      </w:r>
      <w:r>
        <w:rPr>
          <w:rStyle w:val="VerbatimChar"/>
        </w:rPr>
        <w:t xml:space="preserve">Dictionary&lt;string, IMessageProvider&gt;</w:t>
      </w:r>
      <w:r>
        <w:t xml:space="preserve"> </w:t>
      </w:r>
      <w:r>
        <w:t xml:space="preserve">en dispatcht op providernaam.</w:t>
      </w:r>
      <w:r>
        <w:t xml:space="preserve"> </w:t>
      </w:r>
      <w:r>
        <w:rPr>
          <w:b/>
          <w:bCs/>
        </w:rPr>
        <w:t xml:space="preserve">Voordeel:</w:t>
      </w:r>
      <w:r>
        <w:t xml:space="preserve"> </w:t>
      </w:r>
      <w:r>
        <w:t xml:space="preserve">nieuwe provider toevoegen is één klasse + één DI-registratie; geen wijziging aan controllers, services of consumers.</w:t>
      </w:r>
      <w:r>
        <w:t xml:space="preserve"> </w:t>
      </w:r>
      <w:r>
        <w:rPr>
          <w:b/>
          <w:bCs/>
        </w:rPr>
        <w:t xml:space="preserve">Beperking:</w:t>
      </w:r>
      <w:r>
        <w:t xml:space="preserve"> </w:t>
      </w:r>
      <w:r>
        <w:t xml:space="preserve">providers met semantisch verschillend gedrag (zoals AsyncFlow’s polling) breken de illusie van uniformiteit — daarom is</w:t>
      </w:r>
      <w:r>
        <w:t xml:space="preserve"> </w:t>
      </w:r>
      <w:r>
        <w:rPr>
          <w:rStyle w:val="VerbatimChar"/>
        </w:rPr>
        <w:t xml:space="preserve">IAsyncMessageProvider</w:t>
      </w:r>
      <w:r>
        <w:t xml:space="preserve"> </w:t>
      </w:r>
      <w:r>
        <w:t xml:space="preserve">een aparte sub-interface.</w:t>
      </w:r>
    </w:p>
    <w:bookmarkEnd w:id="56"/>
    <w:bookmarkStart w:id="60" w:name="openmrs-integratie"/>
    <w:p>
      <w:pPr>
        <w:pStyle w:val="Heading3"/>
      </w:pPr>
      <w:r>
        <w:t xml:space="preserve">6.3 OpenMRS-integratie</w:t>
      </w:r>
    </w:p>
    <w:p>
      <w:pPr>
        <w:pStyle w:val="CaptionedFigure"/>
      </w:pPr>
      <w:r>
        <w:drawing>
          <wp:inline>
            <wp:extent cx="5334000" cy="5649219"/>
            <wp:effectExtent b="0" l="0" r="0" t="0"/>
            <wp:docPr descr="Klassediagram — OpenMRS" title="" id="58" name="Picture"/>
            <a:graphic>
              <a:graphicData uri="http://schemas.openxmlformats.org/drawingml/2006/picture">
                <pic:pic>
                  <pic:nvPicPr>
                    <pic:cNvPr descr="c4/images/05-class-diagram-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9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Klassediagram — OpenMRS</w:t>
      </w:r>
    </w:p>
    <w:p>
      <w:pPr>
        <w:pStyle w:val="BodyText"/>
      </w:pPr>
      <w:r>
        <w:rPr>
          <w:rStyle w:val="VerbatimChar"/>
        </w:rPr>
        <w:t xml:space="preserve">OpenMrsService</w:t>
      </w:r>
      <w:r>
        <w:t xml:space="preserve"> </w:t>
      </w:r>
      <w:r>
        <w:t xml:space="preserve">implementeert</w:t>
      </w:r>
      <w:r>
        <w:t xml:space="preserve"> </w:t>
      </w:r>
      <w:r>
        <w:rPr>
          <w:rStyle w:val="VerbatimChar"/>
        </w:rPr>
        <w:t xml:space="preserve">IOpenMrsService</w:t>
      </w:r>
      <w:r>
        <w:t xml:space="preserve"> </w:t>
      </w:r>
      <w:r>
        <w:t xml:space="preserve">en spreekt FHIR R4 over HTTPS. De service geeft</w:t>
      </w:r>
      <w:r>
        <w:t xml:space="preserve"> </w:t>
      </w:r>
      <w:r>
        <w:rPr>
          <w:rStyle w:val="VerbatimChar"/>
        </w:rPr>
        <w:t xml:space="preserve">PatientContact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UpcomingAppointment</w:t>
      </w:r>
      <w:r>
        <w:t xml:space="preserve"> </w:t>
      </w:r>
      <w:r>
        <w:t xml:space="preserve">records terug — bewust</w:t>
      </w:r>
      <w:r>
        <w:t xml:space="preserve"> </w:t>
      </w:r>
      <w:r>
        <w:rPr>
          <w:i/>
          <w:iCs/>
        </w:rPr>
        <w:t xml:space="preserve">niet</w:t>
      </w:r>
      <w:r>
        <w:t xml:space="preserve"> </w:t>
      </w:r>
      <w:r>
        <w:t xml:space="preserve">de ruwe FHIR-resources. Dit isoleert het domein van wijzigingen in OpenMRS’ resource-shape.</w:t>
      </w:r>
    </w:p>
    <w:bookmarkEnd w:id="60"/>
    <w:bookmarkStart w:id="64" w:name="background-services"/>
    <w:p>
      <w:pPr>
        <w:pStyle w:val="Heading3"/>
      </w:pPr>
      <w:r>
        <w:t xml:space="preserve">6.4 Background services</w:t>
      </w:r>
    </w:p>
    <w:p>
      <w:pPr>
        <w:pStyle w:val="CaptionedFigure"/>
      </w:pPr>
      <w:r>
        <w:drawing>
          <wp:inline>
            <wp:extent cx="5334000" cy="2699878"/>
            <wp:effectExtent b="0" l="0" r="0" t="0"/>
            <wp:docPr descr="Klassediagram — background" title="" id="62" name="Picture"/>
            <a:graphic>
              <a:graphicData uri="http://schemas.openxmlformats.org/drawingml/2006/picture">
                <pic:pic>
                  <pic:nvPicPr>
                    <pic:cNvPr descr="c4/images/05-class-diagram-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Klassediagram — background</w:t>
      </w:r>
    </w:p>
    <w:p>
      <w:pPr>
        <w:pStyle w:val="BodyText"/>
      </w:pPr>
      <w:r>
        <w:rPr>
          <w:rStyle w:val="VerbatimChar"/>
        </w:rPr>
        <w:t xml:space="preserve">ReminderWorker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DataRetentionWorker</w:t>
      </w:r>
      <w:r>
        <w:t xml:space="preserve"> </w:t>
      </w:r>
      <w:r>
        <w:t xml:space="preserve">erven van</w:t>
      </w:r>
      <w:r>
        <w:t xml:space="preserve"> </w:t>
      </w:r>
      <w:r>
        <w:rPr>
          <w:rStyle w:val="VerbatimChar"/>
        </w:rPr>
        <w:t xml:space="preserve">BackgroundService</w:t>
      </w:r>
      <w:r>
        <w:t xml:space="preserve">.</w:t>
      </w:r>
      <w:r>
        <w:t xml:space="preserve"> </w:t>
      </w:r>
      <w:r>
        <w:rPr>
          <w:rStyle w:val="VerbatimChar"/>
        </w:rPr>
        <w:t xml:space="preserve">SendReminderConsumer</w:t>
      </w:r>
      <w:r>
        <w:t xml:space="preserve"> </w:t>
      </w:r>
      <w:r>
        <w:t xml:space="preserve">implementeert</w:t>
      </w:r>
      <w:r>
        <w:t xml:space="preserve"> </w:t>
      </w:r>
      <w:r>
        <w:rPr>
          <w:rStyle w:val="VerbatimChar"/>
        </w:rPr>
        <w:t xml:space="preserve">IConsumer&lt;SendReminderCommand&gt;</w:t>
      </w:r>
      <w:r>
        <w:t xml:space="preserve">. Het</w:t>
      </w:r>
      <w:r>
        <w:t xml:space="preserve"> </w:t>
      </w:r>
      <w:r>
        <w:rPr>
          <w:rStyle w:val="VerbatimChar"/>
        </w:rPr>
        <w:t xml:space="preserve">SendReminderCommand</w:t>
      </w:r>
      <w:r>
        <w:t xml:space="preserve"> </w:t>
      </w:r>
      <w:r>
        <w:t xml:space="preserve">record is het contract op de bus — bewust een kleine, immutable POCO zodat consumers eenvoudig schalen.</w:t>
      </w:r>
    </w:p>
    <w:bookmarkEnd w:id="64"/>
    <w:bookmarkStart w:id="68" w:name="database-schema"/>
    <w:p>
      <w:pPr>
        <w:pStyle w:val="Heading3"/>
      </w:pPr>
      <w:r>
        <w:t xml:space="preserve">6.5 Database schema</w:t>
      </w:r>
    </w:p>
    <w:p>
      <w:pPr>
        <w:pStyle w:val="CaptionedFigure"/>
      </w:pPr>
      <w:r>
        <w:drawing>
          <wp:inline>
            <wp:extent cx="5334000" cy="1984588"/>
            <wp:effectExtent b="0" l="0" r="0" t="0"/>
            <wp:docPr descr="ER-diagram" title="" id="66" name="Picture"/>
            <a:graphic>
              <a:graphicData uri="http://schemas.openxmlformats.org/drawingml/2006/picture">
                <pic:pic>
                  <pic:nvPicPr>
                    <pic:cNvPr descr="c4/images/08-er-diagram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ER-diagram</w:t>
      </w:r>
    </w:p>
    <w:p>
      <w:pPr>
        <w:pStyle w:val="BodyText"/>
      </w:pPr>
      <w:r>
        <w:t xml:space="preserve">Het schema in zeven tabellen (</w:t>
      </w:r>
      <w:hyperlink r:id="rId17">
        <w:r>
          <w:rPr>
            <w:rStyle w:val="Hyperlink"/>
          </w:rPr>
          <w:t xml:space="preserve">08-er-diagram.md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Doel</w:t>
            </w:r>
          </w:p>
        </w:tc>
        <w:tc>
          <w:tcPr/>
          <w:p>
            <w:pPr>
              <w:pStyle w:val="Compact"/>
            </w:pPr>
            <w:r>
              <w:t xml:space="preserve">Encryptie</w:t>
            </w:r>
          </w:p>
        </w:tc>
        <w:tc>
          <w:tcPr/>
          <w:p>
            <w:pPr>
              <w:pStyle w:val="Compact"/>
            </w:pPr>
            <w:r>
              <w:t xml:space="preserve">Retentie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Identity (login)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AES-GCM +</w:t>
            </w:r>
            <w:r>
              <w:t xml:space="preserve"> </w:t>
            </w:r>
            <w:r>
              <w:rPr>
                <w:rStyle w:val="VerbatimChar"/>
              </w:rPr>
              <w:t xml:space="preserve">email_hash</w:t>
            </w:r>
            <w:r>
              <w:t xml:space="preserve"> </w:t>
            </w:r>
            <w:r>
              <w:t xml:space="preserve">HMAC</w:t>
            </w:r>
          </w:p>
        </w:tc>
        <w:tc>
          <w:tcPr/>
          <w:p>
            <w:pPr>
              <w:pStyle w:val="Compact"/>
            </w:pPr>
            <w:r>
              <w:t xml:space="preserve">onbeperkt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appointment_notifications</w:t>
            </w:r>
          </w:p>
        </w:tc>
        <w:tc>
          <w:tcPr/>
          <w:p>
            <w:pPr>
              <w:pStyle w:val="Compact"/>
            </w:pPr>
            <w:r>
              <w:t xml:space="preserve">Afspraakcontext uit webhook</w:t>
            </w:r>
          </w:p>
        </w:tc>
        <w:tc>
          <w:tcPr/>
          <w:p>
            <w:pPr>
              <w:pStyle w:val="Compact"/>
            </w:pPr>
            <w:r>
              <w:t xml:space="preserve">5 PII-velden AES-GCM</w:t>
            </w:r>
          </w:p>
        </w:tc>
        <w:tc>
          <w:tcPr/>
          <w:p>
            <w:pPr>
              <w:pStyle w:val="Compact"/>
            </w:pPr>
            <w:r>
              <w:t xml:space="preserve">14 dagen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scheduled_reminders</w:t>
            </w:r>
          </w:p>
        </w:tc>
        <w:tc>
          <w:tcPr/>
          <w:p>
            <w:pPr>
              <w:pStyle w:val="Compact"/>
            </w:pPr>
            <w:r>
              <w:t xml:space="preserve">Geplande 24h/1h reminders</w:t>
            </w:r>
          </w:p>
        </w:tc>
        <w:tc>
          <w:tcPr/>
          <w:p>
            <w:pPr>
              <w:pStyle w:val="Compact"/>
            </w:pPr>
            <w:r>
              <w:t xml:space="preserve">— (alleen FK + status)</w:t>
            </w:r>
          </w:p>
        </w:tc>
        <w:tc>
          <w:tcPr/>
          <w:p>
            <w:pPr>
              <w:pStyle w:val="Compact"/>
            </w:pPr>
            <w:r>
              <w:t xml:space="preserve">volgt parent (cascade)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reminder_logs</w:t>
            </w:r>
          </w:p>
        </w:tc>
        <w:tc>
          <w:tcPr/>
          <w:p>
            <w:pPr>
              <w:pStyle w:val="Compact"/>
            </w:pPr>
            <w:r>
              <w:t xml:space="preserve">Audit per herinnering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encounter_id</w:t>
            </w:r>
            <w:r>
              <w:t xml:space="preserve"> </w:t>
            </w:r>
            <w:r>
              <w:t xml:space="preserve">AES-GCM</w:t>
            </w:r>
          </w:p>
        </w:tc>
        <w:tc>
          <w:tcPr/>
          <w:p>
            <w:pPr>
              <w:pStyle w:val="Compact"/>
            </w:pPr>
            <w:r>
              <w:t xml:space="preserve">14 dagen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message_logs</w:t>
            </w:r>
          </w:p>
        </w:tc>
        <w:tc>
          <w:tcPr/>
          <w:p>
            <w:pPr>
              <w:pStyle w:val="Compact"/>
            </w:pPr>
            <w:r>
              <w:t xml:space="preserve">Audit ad-hoc berichten</w:t>
            </w:r>
          </w:p>
        </w:tc>
        <w:tc>
          <w:tcPr/>
          <w:p>
            <w:pPr>
              <w:pStyle w:val="Compact"/>
            </w:pPr>
            <w:r>
              <w:t xml:space="preserve">— (meta only)</w:t>
            </w:r>
          </w:p>
        </w:tc>
        <w:tc>
          <w:tcPr/>
          <w:p>
            <w:pPr>
              <w:pStyle w:val="Compact"/>
            </w:pPr>
            <w:r>
              <w:t xml:space="preserve">365 dagen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webhook_event_logs</w:t>
            </w:r>
          </w:p>
        </w:tc>
        <w:tc>
          <w:tcPr/>
          <w:p>
            <w:pPr>
              <w:pStyle w:val="Compact"/>
            </w:pPr>
            <w:r>
              <w:t xml:space="preserve">Webhook idempotency + audit</w:t>
            </w:r>
          </w:p>
        </w:tc>
        <w:tc>
          <w:tcPr/>
          <w:p>
            <w:pPr>
              <w:pStyle w:val="Compact"/>
            </w:pPr>
            <w:r>
              <w:t xml:space="preserve">— (alleen hash + meta)</w:t>
            </w:r>
          </w:p>
        </w:tc>
        <w:tc>
          <w:tcPr/>
          <w:p>
            <w:pPr>
              <w:pStyle w:val="Compact"/>
            </w:pPr>
            <w:r>
              <w:t xml:space="preserve">365 dagen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organization_integration_configs</w:t>
            </w:r>
          </w:p>
        </w:tc>
        <w:tc>
          <w:tcPr/>
          <w:p>
            <w:pPr>
              <w:pStyle w:val="Compact"/>
            </w:pPr>
            <w:r>
              <w:t xml:space="preserve">Per-org default provider, tijdzone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onbeperkt</w:t>
            </w:r>
          </w:p>
        </w:tc>
      </w:tr>
    </w:tbl>
    <w:p>
      <w:pPr>
        <w:pStyle w:val="BodyText"/>
      </w:pPr>
      <w:r>
        <w:rPr>
          <w:b/>
          <w:bCs/>
        </w:rPr>
        <w:t xml:space="preserve">Twee design-choices verdienen toelichting: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Encrypted + hash kolommen naast elkaar.</w:t>
      </w:r>
      <w:r>
        <w:t xml:space="preserve"> </w:t>
      </w:r>
      <w:r>
        <w:t xml:space="preserve">AES-GCM is non-deterministisch (verschillende ciphertext per keer), dus indexeerbaar is het niet. Voor velden waar we</w:t>
      </w:r>
      <w:r>
        <w:t xml:space="preserve"> </w:t>
      </w:r>
      <w:r>
        <w:rPr>
          <w:i/>
          <w:iCs/>
        </w:rPr>
        <w:t xml:space="preserve">op moeten zoeken</w:t>
      </w:r>
      <w:r>
        <w:t xml:space="preserve"> </w:t>
      </w:r>
      <w:r>
        <w:t xml:space="preserve">(login, idempotency) staat naast de encrypted kolom een HMAC-hash met een unieke / compound index. Dit is een bekend patroon bij field-level encryption.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Geen FK van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message_logs.sent_by_user_id</w:t>
      </w:r>
      <w:r>
        <w:rPr>
          <w:b/>
          <w:bCs/>
        </w:rPr>
        <w:t xml:space="preserve"> </w:t>
      </w:r>
      <w:r>
        <w:rPr>
          <w:b/>
          <w:bCs/>
        </w:rPr>
        <w:t xml:space="preserve">naar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AspNetUsers.Id</w:t>
      </w:r>
      <w:r>
        <w:rPr>
          <w:b/>
          <w:bCs/>
        </w:rPr>
        <w:t xml:space="preserve">.</w:t>
      </w:r>
      <w:r>
        <w:t xml:space="preserve"> </w:t>
      </w:r>
      <w:r>
        <w:t xml:space="preserve">Bewust losse koppeling: users kunnen verwijderd worden, maar audit-logs moeten 365 dagen overleven.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6" w:name="belangrijkste-procesflows"/>
    <w:p>
      <w:pPr>
        <w:pStyle w:val="Heading2"/>
      </w:pPr>
      <w:r>
        <w:t xml:space="preserve">7. Belangrijkste procesflows</w:t>
      </w:r>
    </w:p>
    <w:bookmarkStart w:id="73" w:name="automatische-herinnerings-flow"/>
    <w:p>
      <w:pPr>
        <w:pStyle w:val="Heading3"/>
      </w:pPr>
      <w:r>
        <w:t xml:space="preserve">7.1 Automatische herinnerings-flow</w:t>
      </w:r>
    </w:p>
    <w:p>
      <w:pPr>
        <w:pStyle w:val="CaptionedFigure"/>
      </w:pPr>
      <w:r>
        <w:drawing>
          <wp:inline>
            <wp:extent cx="5334000" cy="2859417"/>
            <wp:effectExtent b="0" l="0" r="0" t="0"/>
            <wp:docPr descr="Reminder flow" title="" id="71" name="Picture"/>
            <a:graphic>
              <a:graphicData uri="http://schemas.openxmlformats.org/drawingml/2006/picture">
                <pic:pic>
                  <pic:nvPicPr>
                    <pic:cNvPr descr="c4/images/04-reminder-process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Reminder flow</w:t>
      </w:r>
    </w:p>
    <w:p>
      <w:pPr>
        <w:pStyle w:val="BodyText"/>
      </w:pPr>
      <w:r>
        <w:t xml:space="preserve">De volledige keten van webhook tot patiënt (</w:t>
      </w:r>
      <w:hyperlink r:id="rId18">
        <w:r>
          <w:rPr>
            <w:rStyle w:val="Hyperlink"/>
          </w:rPr>
          <w:t xml:space="preserve">04-reminder-process.md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OpenMRS</w:t>
      </w:r>
      <w:r>
        <w:t xml:space="preserve"> </w:t>
      </w:r>
      <w:r>
        <w:t xml:space="preserve">stuurt</w:t>
      </w:r>
      <w:r>
        <w:t xml:space="preserve"> </w:t>
      </w:r>
      <w:r>
        <w:rPr>
          <w:rStyle w:val="VerbatimChar"/>
        </w:rPr>
        <w:t xml:space="preserve">POST /api/webhooks/openmrs/appointments</w:t>
      </w:r>
      <w:r>
        <w:t xml:space="preserve"> </w:t>
      </w:r>
      <w:r>
        <w:t xml:space="preserve">met HMAC headers.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valideert HMAC, timestamp (±5 min) en headers; weigert dubbele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WebhookService</w:t>
      </w:r>
      <w:r>
        <w:t xml:space="preserve"> </w:t>
      </w:r>
      <w:r>
        <w:t xml:space="preserve">upsert</w:t>
      </w:r>
      <w:r>
        <w:t xml:space="preserve"> </w:t>
      </w:r>
      <w:r>
        <w:rPr>
          <w:rStyle w:val="VerbatimChar"/>
        </w:rPr>
        <w:t xml:space="preserve">appointment_notifications</w:t>
      </w:r>
      <w:r>
        <w:t xml:space="preserve"> </w:t>
      </w:r>
      <w:r>
        <w:t xml:space="preserve">(encrypted), logt</w:t>
      </w:r>
      <w:r>
        <w:t xml:space="preserve"> </w:t>
      </w:r>
      <w:r>
        <w:rPr>
          <w:rStyle w:val="VerbatimChar"/>
        </w:rPr>
        <w:t xml:space="preserve">webhook_event_logs</w:t>
      </w:r>
      <w:r>
        <w:t xml:space="preserve">, creëert/cancelt twee</w:t>
      </w:r>
      <w:r>
        <w:t xml:space="preserve"> </w:t>
      </w:r>
      <w:r>
        <w:rPr>
          <w:rStyle w:val="VerbatimChar"/>
        </w:rPr>
        <w:t xml:space="preserve">scheduled_reminders</w:t>
      </w:r>
      <w:r>
        <w:t xml:space="preserve"> </w:t>
      </w:r>
      <w:r>
        <w:t xml:space="preserve">(24h en 1h vooraf).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ReminderWorker</w:t>
      </w:r>
      <w:r>
        <w:t xml:space="preserve"> </w:t>
      </w:r>
      <w:r>
        <w:t xml:space="preserve">claimt elke 5 minuten due reminders en publiceert per stuk een</w:t>
      </w:r>
      <w:r>
        <w:t xml:space="preserve"> </w:t>
      </w:r>
      <w:r>
        <w:rPr>
          <w:rStyle w:val="VerbatimChar"/>
        </w:rPr>
        <w:t xml:space="preserve">SendReminderCommand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SendReminderConsumer</w:t>
      </w:r>
      <w:r>
        <w:t xml:space="preserve"> </w:t>
      </w:r>
      <w:r>
        <w:t xml:space="preserve">doet idempotency-check, haalt patiëntcontact via FHIR, verstuurt via provider, logt</w:t>
      </w:r>
      <w:r>
        <w:t xml:space="preserve"> </w:t>
      </w:r>
      <w:r>
        <w:rPr>
          <w:rStyle w:val="VerbatimChar"/>
        </w:rPr>
        <w:t xml:space="preserve">reminder_logs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Bij fail</w:t>
      </w:r>
      <w:r>
        <w:t xml:space="preserve">: 3× retry met backoff → DLQ;</w:t>
      </w:r>
      <w:r>
        <w:t xml:space="preserve"> </w:t>
      </w:r>
      <w:r>
        <w:rPr>
          <w:b/>
          <w:bCs/>
        </w:rPr>
        <w:t xml:space="preserve">bij geen contactgegevens</w:t>
      </w:r>
      <w:r>
        <w:t xml:space="preserve">: reminder →</w:t>
      </w:r>
      <w:r>
        <w:t xml:space="preserve"> </w:t>
      </w:r>
      <w:r>
        <w:rPr>
          <w:rStyle w:val="VerbatimChar"/>
        </w:rPr>
        <w:t xml:space="preserve">failed (NO_CONTACT_DETAILS)</w:t>
      </w:r>
      <w:r>
        <w:t xml:space="preserve">.</w:t>
      </w:r>
    </w:p>
    <w:p>
      <w:pPr>
        <w:pStyle w:val="FirstParagraph"/>
      </w:pPr>
      <w:r>
        <w:t xml:space="preserve">De keuze om reminders</w:t>
      </w:r>
      <w:r>
        <w:t xml:space="preserve"> </w:t>
      </w:r>
      <w:r>
        <w:rPr>
          <w:b/>
          <w:bCs/>
        </w:rPr>
        <w:t xml:space="preserve">in twee stappen</w:t>
      </w:r>
      <w:r>
        <w:t xml:space="preserve"> </w:t>
      </w:r>
      <w:r>
        <w:t xml:space="preserve">te verwerken (plannen + verzenden) ipv direct uit de webhook, geeft:</w:t>
      </w:r>
      <w:r>
        <w:t xml:space="preserve"> </w:t>
      </w:r>
      <w:r>
        <w:t xml:space="preserve">- correcte planning (24h vooraf ≠ 24h vanaf nu);</w:t>
      </w:r>
      <w:r>
        <w:t xml:space="preserve"> </w:t>
      </w:r>
      <w:r>
        <w:t xml:space="preserve">- idempotency op DB-niveau (</w:t>
      </w:r>
      <w:r>
        <w:rPr>
          <w:rStyle w:val="VerbatimChar"/>
        </w:rPr>
        <w:t xml:space="preserve">scheduled_reminders</w:t>
      </w:r>
      <w:r>
        <w:t xml:space="preserve"> </w:t>
      </w:r>
      <w:r>
        <w:t xml:space="preserve">is bron van waarheid, niet de bus);</w:t>
      </w:r>
      <w:r>
        <w:t xml:space="preserve"> </w:t>
      </w:r>
      <w:r>
        <w:t xml:space="preserve">- ruimte voor retries en dead-lettering.</w:t>
      </w:r>
    </w:p>
    <w:bookmarkEnd w:id="73"/>
    <w:bookmarkStart w:id="77" w:name="handmatige-trigger-testdebug"/>
    <w:p>
      <w:pPr>
        <w:pStyle w:val="Heading3"/>
      </w:pPr>
      <w:r>
        <w:t xml:space="preserve">7.2 Handmatige trigger (test/debug)</w:t>
      </w:r>
    </w:p>
    <w:p>
      <w:pPr>
        <w:pStyle w:val="CaptionedFigure"/>
      </w:pPr>
      <w:r>
        <w:drawing>
          <wp:inline>
            <wp:extent cx="5334000" cy="1761799"/>
            <wp:effectExtent b="0" l="0" r="0" t="0"/>
            <wp:docPr descr="Manual trigger" title="" id="75" name="Picture"/>
            <a:graphic>
              <a:graphicData uri="http://schemas.openxmlformats.org/drawingml/2006/picture">
                <pic:pic>
                  <pic:nvPicPr>
                    <pic:cNvPr descr="c4/images/04-reminder-process-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Manual trigger</w:t>
      </w:r>
    </w:p>
    <w:p>
      <w:pPr>
        <w:pStyle w:val="BodyText"/>
      </w:pPr>
      <w:r>
        <w:rPr>
          <w:rStyle w:val="VerbatimChar"/>
        </w:rPr>
        <w:t xml:space="preserve">POST /api/reminders/trigger</w:t>
      </w:r>
      <w:r>
        <w:t xml:space="preserve"> </w:t>
      </w:r>
      <w:r>
        <w:t xml:space="preserve">(met JWT) roept</w:t>
      </w:r>
      <w:r>
        <w:t xml:space="preserve"> </w:t>
      </w:r>
      <w:r>
        <w:rPr>
          <w:rStyle w:val="VerbatimChar"/>
        </w:rPr>
        <w:t xml:space="preserve">ReminderWorker.ProcessAsync()</w:t>
      </w:r>
      <w:r>
        <w:t xml:space="preserve"> </w:t>
      </w:r>
      <w:r>
        <w:t xml:space="preserve">synchroon aan. Bedoeld voor ontwikkelaars die niet 5 minuten willen wachten tijdens debuggen.</w:t>
      </w:r>
      <w:r>
        <w:t xml:space="preserve"> </w:t>
      </w:r>
      <w:r>
        <w:rPr>
          <w:b/>
          <w:bCs/>
        </w:rPr>
        <w:t xml:space="preserve">Niet</w:t>
      </w:r>
      <w:r>
        <w:t xml:space="preserve"> </w:t>
      </w:r>
      <w:r>
        <w:t xml:space="preserve">voor productie-gebruik.</w:t>
      </w:r>
    </w:p>
    <w:bookmarkEnd w:id="77"/>
    <w:bookmarkStart w:id="81" w:name="data-retentie"/>
    <w:p>
      <w:pPr>
        <w:pStyle w:val="Heading3"/>
      </w:pPr>
      <w:r>
        <w:t xml:space="preserve">7.3 Data-retentie</w:t>
      </w:r>
    </w:p>
    <w:p>
      <w:pPr>
        <w:pStyle w:val="CaptionedFigure"/>
      </w:pPr>
      <w:r>
        <w:drawing>
          <wp:inline>
            <wp:extent cx="5334000" cy="3519434"/>
            <wp:effectExtent b="0" l="0" r="0" t="0"/>
            <wp:docPr descr="Retention flow" title="" id="79" name="Picture"/>
            <a:graphic>
              <a:graphicData uri="http://schemas.openxmlformats.org/drawingml/2006/picture">
                <pic:pic>
                  <pic:nvPicPr>
                    <pic:cNvPr descr="c4/images/04-reminder-process-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Retention flow</w:t>
      </w:r>
    </w:p>
    <w:p>
      <w:pPr>
        <w:pStyle w:val="BodyText"/>
      </w:pPr>
      <w:r>
        <w:t xml:space="preserve">Elke 24 uur draait</w:t>
      </w:r>
      <w:r>
        <w:t xml:space="preserve"> </w:t>
      </w:r>
      <w:r>
        <w:rPr>
          <w:rStyle w:val="VerbatimChar"/>
        </w:rPr>
        <w:t xml:space="preserve">DataRetentionWorker.RunAsync()</w:t>
      </w:r>
      <w:r>
        <w:t xml:space="preserve"> </w:t>
      </w:r>
      <w:r>
        <w:t xml:space="preserve">vier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statements: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appointment_notifications</w:t>
      </w:r>
      <w:r>
        <w:t xml:space="preserve"> </w:t>
      </w:r>
      <w:r>
        <w:t xml:space="preserve">ouder dan 14 dagen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reminder_logs</w:t>
      </w:r>
      <w:r>
        <w:t xml:space="preserve"> </w:t>
      </w:r>
      <w:r>
        <w:t xml:space="preserve">ouder dan 14 dagen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message_logs</w:t>
      </w:r>
      <w:r>
        <w:t xml:space="preserve"> </w:t>
      </w:r>
      <w:r>
        <w:t xml:space="preserve">ouder dan 365 dagen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webhook_event_logs</w:t>
      </w:r>
      <w:r>
        <w:t xml:space="preserve"> </w:t>
      </w:r>
      <w:r>
        <w:t xml:space="preserve">ouder dan 365 dagen</w:t>
      </w:r>
    </w:p>
    <w:p>
      <w:pPr>
        <w:pStyle w:val="FirstParagraph"/>
      </w:pPr>
      <w:r>
        <w:t xml:space="preserve">Resultaat wordt gelogd; geen dry-run-mode (bewust — retentie is wet, niet optioneel).</w:t>
      </w:r>
    </w:p>
    <w:bookmarkEnd w:id="81"/>
    <w:bookmarkStart w:id="85" w:name="user-flow-zorgmedewerker"/>
    <w:p>
      <w:pPr>
        <w:pStyle w:val="Heading3"/>
      </w:pPr>
      <w:r>
        <w:t xml:space="preserve">7.4 User flow — zorgmedewerker</w:t>
      </w:r>
    </w:p>
    <w:p>
      <w:pPr>
        <w:pStyle w:val="CaptionedFigure"/>
      </w:pPr>
      <w:r>
        <w:drawing>
          <wp:inline>
            <wp:extent cx="5334000" cy="4196258"/>
            <wp:effectExtent b="0" l="0" r="0" t="0"/>
            <wp:docPr descr="Global navigation" title="" id="83" name="Picture"/>
            <a:graphic>
              <a:graphicData uri="http://schemas.openxmlformats.org/drawingml/2006/picture">
                <pic:pic>
                  <pic:nvPicPr>
                    <pic:cNvPr descr="c4/images/07-user-flow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Global navigation</w:t>
      </w:r>
    </w:p>
    <w:p>
      <w:pPr>
        <w:pStyle w:val="BodyText"/>
      </w:pPr>
      <w:r>
        <w:t xml:space="preserve">De vier hoofdtaken in de frontend (</w:t>
      </w:r>
      <w:hyperlink r:id="rId19">
        <w:r>
          <w:rPr>
            <w:rStyle w:val="Hyperlink"/>
          </w:rPr>
          <w:t xml:space="preserve">07-user-flow.md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Schermen</w:t>
            </w:r>
          </w:p>
        </w:tc>
        <w:tc>
          <w:tcPr/>
          <w:p>
            <w:pPr>
              <w:pStyle w:val="Compact"/>
            </w:pPr>
            <w:r>
              <w:t xml:space="preserve">API-calls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 / 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Bericht versturen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/dashboard/berichten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/api/messages/providers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/api/messages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Patiënt zoeken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/dashboard/patienten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/api/openmrs/patients?q=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/api/openmrs/patients/{id}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 /api/openmrs/appointments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Geschiedenis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/dashboard/geschiedenis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/api/messages/history</w:t>
            </w:r>
            <w:r>
              <w:t xml:space="preserve"> </w:t>
            </w:r>
            <w:r>
              <w:t xml:space="preserve">(+ optioneel</w:t>
            </w:r>
            <w:r>
              <w:t xml:space="preserve"> </w:t>
            </w:r>
            <w:r>
              <w:rPr>
                <w:rStyle w:val="VerbatimChar"/>
              </w:rPr>
              <w:t xml:space="preserve">GET /api/messages/status/{trackingId}</w:t>
            </w:r>
            <w:r>
              <w:t xml:space="preserve"> </w:t>
            </w:r>
            <w:r>
              <w:t xml:space="preserve">voor AsyncFlow)</w:t>
            </w:r>
          </w:p>
        </w:tc>
      </w:tr>
    </w:tbl>
    <w:p>
      <w:pPr>
        <w:pStyle w:val="BodyText"/>
      </w:pPr>
      <w:r>
        <w:t xml:space="preserve">Rate-limiting bewaakt twee endpoints: 5/min op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(NIST best-practice), 10/min op</w:t>
      </w:r>
      <w:r>
        <w:t xml:space="preserve"> </w:t>
      </w:r>
      <w:r>
        <w:rPr>
          <w:rStyle w:val="VerbatimChar"/>
        </w:rPr>
        <w:t xml:space="preserve">/api/messages</w:t>
      </w:r>
      <w:r>
        <w:t xml:space="preserve"> </w:t>
      </w:r>
      <w:r>
        <w:t xml:space="preserve">(gelijk aan SwiftSend’s eigen quota).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100" w:name="architectuurbeslissingen-samenvatting"/>
    <w:p>
      <w:pPr>
        <w:pStyle w:val="Heading2"/>
      </w:pPr>
      <w:r>
        <w:t xml:space="preserve">8. Architectuurbeslissingen — samenvatting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b/>
          <w:bCs/>
        </w:rPr>
        <w:t xml:space="preserve">vijftien ADR’s</w:t>
      </w:r>
      <w:r>
        <w:t xml:space="preserve"> </w:t>
      </w:r>
      <w:r>
        <w:t xml:space="preserve">vormen samen het hart van dit verslag. Hier is de groepering per thema (volledige beslissingen:</w:t>
      </w:r>
      <w:r>
        <w:t xml:space="preserve"> </w:t>
      </w:r>
      <w:hyperlink r:id="rId20">
        <w:r>
          <w:rPr>
            <w:rStyle w:val="Hyperlink"/>
          </w:rPr>
          <w:t xml:space="preserve">adr/</w:t>
        </w:r>
      </w:hyperlink>
      <w:r>
        <w:t xml:space="preserve">).</w:t>
      </w:r>
    </w:p>
    <w:bookmarkStart w:id="89" w:name="procesafspraken"/>
    <w:p>
      <w:pPr>
        <w:pStyle w:val="Heading3"/>
      </w:pPr>
      <w:r>
        <w:t xml:space="preserve">8.1 Procesafspraken</w:t>
      </w:r>
    </w:p>
    <w:p>
      <w:pPr>
        <w:pStyle w:val="Compact"/>
        <w:numPr>
          <w:ilvl w:val="0"/>
          <w:numId w:val="1009"/>
        </w:numPr>
      </w:pPr>
      <w:hyperlink r:id="rId87">
        <w:r>
          <w:rPr>
            <w:rStyle w:val="Hyperlink"/>
            <w:b/>
            <w:bCs/>
          </w:rPr>
          <w:t xml:space="preserve">ADR-0001</w:t>
        </w:r>
      </w:hyperlink>
      <w:r>
        <w:t xml:space="preserve"> </w:t>
      </w:r>
      <w:r>
        <w:t xml:space="preserve">— elke significante keuze krijgt een ADR (Context → Decision → Consequences).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  <w:b/>
            <w:bCs/>
          </w:rPr>
          <w:t xml:space="preserve">ADR-0011</w:t>
        </w:r>
      </w:hyperlink>
      <w:r>
        <w:t xml:space="preserve"> </w:t>
      </w:r>
      <w:r>
        <w:t xml:space="preserve">— layered mappenstructuur binnen één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. Compiler dwingt richting niet af; reviewers wel.</w:t>
      </w:r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  <w:b/>
            <w:bCs/>
          </w:rPr>
          <w:t xml:space="preserve">ADR-0014</w:t>
        </w:r>
      </w:hyperlink>
      <w:r>
        <w:t xml:space="preserve"> </w:t>
      </w:r>
      <w:r>
        <w:t xml:space="preserve">— drie repos, drie GitHub Actions: backend (build + xUnit + Docker + secret scan), frontend (lint + Vitest + Next build + Playwright), OpenMRS-module (Maven + distro check). PR’s falen vroeg.</w:t>
      </w:r>
    </w:p>
    <w:bookmarkEnd w:id="89"/>
    <w:bookmarkStart w:id="91" w:name="stack-keuzes"/>
    <w:p>
      <w:pPr>
        <w:pStyle w:val="Heading3"/>
      </w:pPr>
      <w:r>
        <w:t xml:space="preserve">8.2 Stack-keuzes</w:t>
      </w:r>
    </w:p>
    <w:p>
      <w:pPr>
        <w:pStyle w:val="Compact"/>
        <w:numPr>
          <w:ilvl w:val="0"/>
          <w:numId w:val="1010"/>
        </w:numPr>
      </w:pPr>
      <w:hyperlink r:id="rId90">
        <w:r>
          <w:rPr>
            <w:rStyle w:val="Hyperlink"/>
            <w:b/>
            <w:bCs/>
          </w:rPr>
          <w:t xml:space="preserve">ADR-0002</w:t>
        </w:r>
      </w:hyperlink>
      <w:r>
        <w:t xml:space="preserve"> </w:t>
      </w:r>
      <w:r>
        <w:t xml:space="preserve">— Dapper voor domein-queries (geen N+1 verrassingen). EF Core enkel voor Identity.</w:t>
      </w:r>
    </w:p>
    <w:p>
      <w:pPr>
        <w:pStyle w:val="Compact"/>
        <w:numPr>
          <w:ilvl w:val="0"/>
          <w:numId w:val="1010"/>
        </w:numPr>
      </w:pPr>
      <w:hyperlink r:id="rId41">
        <w:r>
          <w:rPr>
            <w:rStyle w:val="Hyperlink"/>
            <w:b/>
            <w:bCs/>
          </w:rPr>
          <w:t xml:space="preserve">ADR-0003</w:t>
        </w:r>
      </w:hyperlink>
      <w:r>
        <w:t xml:space="preserve"> </w:t>
      </w:r>
      <w:r>
        <w:t xml:space="preserve">— ASP.NET Core Identity met</w:t>
      </w:r>
      <w:r>
        <w:t xml:space="preserve"> </w:t>
      </w:r>
      <w:r>
        <w:rPr>
          <w:rStyle w:val="VerbatimChar"/>
        </w:rPr>
        <w:t xml:space="preserve">MapIdentityApi&lt;IdentityUser&gt;()</w:t>
      </w:r>
      <w:r>
        <w:t xml:space="preserve">. Geen handgeschreven AuthController.</w:t>
      </w:r>
    </w:p>
    <w:p>
      <w:pPr>
        <w:pStyle w:val="Compact"/>
        <w:numPr>
          <w:ilvl w:val="0"/>
          <w:numId w:val="1010"/>
        </w:numPr>
      </w:pPr>
      <w:hyperlink r:id="rId35">
        <w:r>
          <w:rPr>
            <w:rStyle w:val="Hyperlink"/>
            <w:b/>
            <w:bCs/>
          </w:rPr>
          <w:t xml:space="preserve">ADR-0004</w:t>
        </w:r>
      </w:hyperlink>
      <w:r>
        <w:t xml:space="preserve"> </w:t>
      </w:r>
      <w:r>
        <w:t xml:space="preserve">— PostgreSQL 17. Provider Npgsql voor zowel EF Core als Dapper.</w:t>
      </w:r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  <w:b/>
            <w:bCs/>
          </w:rPr>
          <w:t xml:space="preserve">ADR-0007</w:t>
        </w:r>
      </w:hyperlink>
      <w:r>
        <w:t xml:space="preserve"> </w:t>
      </w:r>
      <w:r>
        <w:t xml:space="preserve">— Next.js 16 frontend (rijp ecosysteem, breed inzetbaar).</w:t>
      </w:r>
    </w:p>
    <w:p>
      <w:pPr>
        <w:pStyle w:val="Compact"/>
        <w:numPr>
          <w:ilvl w:val="0"/>
          <w:numId w:val="1010"/>
        </w:numPr>
      </w:pPr>
      <w:hyperlink r:id="rId34">
        <w:r>
          <w:rPr>
            <w:rStyle w:val="Hyperlink"/>
            <w:b/>
            <w:bCs/>
          </w:rPr>
          <w:t xml:space="preserve">ADR-0009</w:t>
        </w:r>
      </w:hyperlink>
      <w:r>
        <w:t xml:space="preserve"> </w:t>
      </w:r>
      <w:r>
        <w:t xml:space="preserve">— MassTransit als message bus. In-memory dev, RabbitMQ prod.</w:t>
      </w:r>
    </w:p>
    <w:bookmarkEnd w:id="91"/>
    <w:bookmarkStart w:id="97" w:name="integratie-security"/>
    <w:p>
      <w:pPr>
        <w:pStyle w:val="Heading3"/>
      </w:pPr>
      <w:r>
        <w:t xml:space="preserve">8.3 Integratie &amp; security</w:t>
      </w:r>
    </w:p>
    <w:p>
      <w:pPr>
        <w:pStyle w:val="Compact"/>
        <w:numPr>
          <w:ilvl w:val="0"/>
          <w:numId w:val="1011"/>
        </w:numPr>
      </w:pPr>
      <w:hyperlink r:id="rId92">
        <w:r>
          <w:rPr>
            <w:rStyle w:val="Hyperlink"/>
            <w:b/>
            <w:bCs/>
          </w:rPr>
          <w:t xml:space="preserve">ADR-0005</w:t>
        </w:r>
      </w:hyperlink>
      <w:r>
        <w:t xml:space="preserve"> </w:t>
      </w:r>
      <w:r>
        <w:t xml:space="preserve">— multi-stage Dockerfile 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Eén commando voor de hele stack.</w:t>
      </w:r>
    </w:p>
    <w:p>
      <w:pPr>
        <w:pStyle w:val="Compact"/>
        <w:numPr>
          <w:ilvl w:val="0"/>
          <w:numId w:val="1011"/>
        </w:numPr>
      </w:pPr>
      <w:hyperlink r:id="rId93">
        <w:r>
          <w:rPr>
            <w:rStyle w:val="Hyperlink"/>
            <w:b/>
            <w:bCs/>
          </w:rPr>
          <w:t xml:space="preserve">ADR-0006</w:t>
        </w:r>
      </w:hyperlink>
      <w:r>
        <w:t xml:space="preserve"> </w:t>
      </w:r>
      <w:r>
        <w:t xml:space="preserve">— geen credentials in git.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lokaal (uit OneDrive), secrets-store in prod.</w:t>
      </w:r>
    </w:p>
    <w:p>
      <w:pPr>
        <w:pStyle w:val="Compact"/>
        <w:numPr>
          <w:ilvl w:val="0"/>
          <w:numId w:val="1011"/>
        </w:numPr>
      </w:pPr>
      <w:hyperlink r:id="rId94">
        <w:r>
          <w:rPr>
            <w:rStyle w:val="Hyperlink"/>
            <w:b/>
            <w:bCs/>
          </w:rPr>
          <w:t xml:space="preserve">ADR-0008</w:t>
        </w:r>
      </w:hyperlink>
      <w:r>
        <w:t xml:space="preserve"> </w:t>
      </w:r>
      <w:r>
        <w:t xml:space="preserve">— webhooks i.p.v. polling. Event-driven, real-time, lagere load.</w:t>
      </w:r>
    </w:p>
    <w:p>
      <w:pPr>
        <w:pStyle w:val="Compact"/>
        <w:numPr>
          <w:ilvl w:val="0"/>
          <w:numId w:val="1011"/>
        </w:numPr>
      </w:pPr>
      <w:hyperlink r:id="rId42">
        <w:r>
          <w:rPr>
            <w:rStyle w:val="Hyperlink"/>
            <w:b/>
            <w:bCs/>
          </w:rPr>
          <w:t xml:space="preserve">ADR-0012</w:t>
        </w:r>
      </w:hyperlink>
      <w:r>
        <w:t xml:space="preserve"> </w:t>
      </w:r>
      <w:r>
        <w:t xml:space="preserve">— gedeeld webhook-secret + HMAC-SHA256 over</w:t>
      </w:r>
      <w:r>
        <w:t xml:space="preserve"> </w:t>
      </w:r>
      <w:r>
        <w:rPr>
          <w:rStyle w:val="VerbatimChar"/>
        </w:rPr>
        <w:t xml:space="preserve">timestamp + "." + body</w:t>
      </w:r>
      <w:r>
        <w:t xml:space="preserve"> </w:t>
      </w:r>
      <w:r>
        <w:t xml:space="preserve">+ idempotency op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hyperlink r:id="rId95">
        <w:r>
          <w:rPr>
            <w:rStyle w:val="Hyperlink"/>
            <w:b/>
            <w:bCs/>
          </w:rPr>
          <w:t xml:space="preserve">ADR-0010</w:t>
        </w:r>
      </w:hyperlink>
      <w:r>
        <w:t xml:space="preserve"> </w:t>
      </w:r>
      <w:r>
        <w:t xml:space="preserve">— drie-tier retentiebeleid (actief, completed-de-identified, deleted) + AES-256 voor PII.</w:t>
      </w:r>
    </w:p>
    <w:p>
      <w:pPr>
        <w:pStyle w:val="Compact"/>
        <w:numPr>
          <w:ilvl w:val="0"/>
          <w:numId w:val="1011"/>
        </w:numPr>
      </w:pPr>
      <w:hyperlink r:id="rId96">
        <w:r>
          <w:rPr>
            <w:rStyle w:val="Hyperlink"/>
            <w:b/>
            <w:bCs/>
          </w:rPr>
          <w:t xml:space="preserve">ADR-0015</w:t>
        </w:r>
      </w:hyperlink>
      <w:r>
        <w:t xml:space="preserve"> </w:t>
      </w:r>
      <w:r>
        <w:t xml:space="preserve">— AES-256-GCM via</w:t>
      </w:r>
      <w:r>
        <w:t xml:space="preserve"> </w:t>
      </w:r>
      <w:r>
        <w:rPr>
          <w:rStyle w:val="VerbatimChar"/>
        </w:rPr>
        <w:t xml:space="preserve">Security:EncryptionKey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SECURITY_ENCRYPTION_KEY</w:t>
      </w:r>
      <w:r>
        <w:t xml:space="preserve"> </w:t>
      </w:r>
      <w:r>
        <w:t xml:space="preserve">env-var). Geen raw payload in DB; logs zonder PII.</w:t>
      </w:r>
    </w:p>
    <w:bookmarkEnd w:id="97"/>
    <w:bookmarkStart w:id="99" w:name="test--en-kwaliteitsstrategie"/>
    <w:p>
      <w:pPr>
        <w:pStyle w:val="Heading3"/>
      </w:pPr>
      <w:r>
        <w:t xml:space="preserve">8.4 Test- en kwaliteitsstrategie</w:t>
      </w:r>
    </w:p>
    <w:p>
      <w:pPr>
        <w:pStyle w:val="Compact"/>
        <w:numPr>
          <w:ilvl w:val="0"/>
          <w:numId w:val="1012"/>
        </w:numPr>
      </w:pPr>
      <w:hyperlink r:id="rId98">
        <w:r>
          <w:rPr>
            <w:rStyle w:val="Hyperlink"/>
            <w:b/>
            <w:bCs/>
          </w:rPr>
          <w:t xml:space="preserve">ADR-0013</w:t>
        </w:r>
      </w:hyperlink>
      <w:r>
        <w:t xml:space="preserve"> </w:t>
      </w:r>
      <w:r>
        <w:t xml:space="preserve">— testpiramide: backend xUnit (HMAC, encryptie, idempotency), frontend Vitest + Playwright smoke, OpenMRS-module Maven/JUnit. Volledige containervalidatie blijft handmatig — bewuste keuze voor PR-snelheid.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kwaliteitsattributen-nfrs"/>
    <w:p>
      <w:pPr>
        <w:pStyle w:val="Heading2"/>
      </w:pPr>
      <w:r>
        <w:t xml:space="preserve">9. Kwaliteitsattributen (NFR’s)</w:t>
      </w:r>
    </w:p>
    <w:p>
      <w:pPr>
        <w:pStyle w:val="FirstParagraph"/>
      </w:pPr>
      <w:r>
        <w:t xml:space="preserve">De niet-functionele eisen uit</w:t>
      </w:r>
      <w:r>
        <w:t xml:space="preserve"> </w:t>
      </w:r>
      <w:hyperlink r:id="rId21">
        <w:r>
          <w:rPr>
            <w:rStyle w:val="Hyperlink"/>
          </w:rPr>
          <w:t xml:space="preserve">requirements.md</w:t>
        </w:r>
      </w:hyperlink>
      <w:r>
        <w:t xml:space="preserve"> </w:t>
      </w:r>
      <w:r>
        <w:t xml:space="preserve">en hun architectuurkoppeling: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Eis</w:t>
            </w:r>
          </w:p>
        </w:tc>
        <w:tc>
          <w:tcPr/>
          <w:p>
            <w:pPr>
              <w:pStyle w:val="Compact"/>
            </w:pPr>
            <w:r>
              <w:t xml:space="preserve">Architectuurmiddel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NFE-1</w:t>
            </w:r>
          </w:p>
        </w:tc>
        <w:tc>
          <w:tcPr/>
          <w:p>
            <w:pPr>
              <w:pStyle w:val="Compact"/>
            </w:pPr>
            <w:r>
              <w:t xml:space="preserve">Zelfstandig SaaS, multi-tenant</w:t>
            </w:r>
          </w:p>
        </w:tc>
        <w:tc>
          <w:tcPr/>
          <w:p>
            <w:pPr>
              <w:pStyle w:val="Compact"/>
            </w:pPr>
            <w:r>
              <w:t xml:space="preserve">Module draait standalone;</w:t>
            </w:r>
            <w:r>
              <w:t xml:space="preserve"> </w:t>
            </w:r>
            <w:r>
              <w:rPr>
                <w:rStyle w:val="VerbatimChar"/>
              </w:rPr>
              <w:t xml:space="preserve">organization_id</w:t>
            </w:r>
            <w:r>
              <w:t xml:space="preserve"> </w:t>
            </w:r>
            <w:r>
              <w:t xml:space="preserve">in webhookheaders en</w:t>
            </w:r>
            <w:r>
              <w:t xml:space="preserve"> </w:t>
            </w:r>
            <w:r>
              <w:rPr>
                <w:rStyle w:val="VerbatimChar"/>
              </w:rPr>
              <w:t xml:space="preserve">organization_integration_configs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NFE-2</w:t>
            </w:r>
          </w:p>
        </w:tc>
        <w:tc>
          <w:tcPr/>
          <w:p>
            <w:pPr>
              <w:pStyle w:val="Compact"/>
            </w:pPr>
            <w:r>
              <w:t xml:space="preserve">Gedocumenteerde en beveiligde OpenMRS-integratie</w:t>
            </w:r>
          </w:p>
        </w:tc>
        <w:tc>
          <w:tcPr/>
          <w:p>
            <w:pPr>
              <w:pStyle w:val="Compact"/>
            </w:pPr>
            <w:r>
              <w:t xml:space="preserve">Signed webhook (</w:t>
            </w:r>
            <w:hyperlink r:id="rId42">
              <w:r>
                <w:rPr>
                  <w:rStyle w:val="Hyperlink"/>
                </w:rPr>
                <w:t xml:space="preserve">ADR-0012</w:t>
              </w:r>
            </w:hyperlink>
            <w:r>
              <w:t xml:space="preserve">) +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webhook-openmrs-backend.md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NFE-3</w:t>
            </w:r>
          </w:p>
        </w:tc>
        <w:tc>
          <w:tcPr/>
          <w:p>
            <w:pPr>
              <w:pStyle w:val="Compact"/>
            </w:pPr>
            <w:r>
              <w:t xml:space="preserve">Vier providers</w:t>
            </w:r>
          </w:p>
        </w:tc>
        <w:tc>
          <w:tcPr/>
          <w:p>
            <w:pPr>
              <w:pStyle w:val="Compact"/>
            </w:pPr>
            <w:r>
              <w:t xml:space="preserve">Strategy Pattern (§6.2)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NFE-4</w:t>
            </w:r>
          </w:p>
        </w:tc>
        <w:tc>
          <w:tcPr/>
          <w:p>
            <w:pPr>
              <w:pStyle w:val="Compact"/>
            </w:pPr>
            <w:r>
              <w:t xml:space="preserve">OpenMRS 2.7.x+</w:t>
            </w:r>
          </w:p>
        </w:tc>
        <w:tc>
          <w:tcPr/>
          <w:p>
            <w:pPr>
              <w:pStyle w:val="Compact"/>
            </w:pPr>
            <w:r>
              <w:t xml:space="preserve">LU1 distro = OpenMRS 2.8.6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NFE-5</w:t>
            </w:r>
          </w:p>
        </w:tc>
        <w:tc>
          <w:tcPr/>
          <w:p>
            <w:pPr>
              <w:pStyle w:val="Compact"/>
            </w:pPr>
            <w:r>
              <w:t xml:space="preserve">AES-256 + geen secrets in code</w:t>
            </w:r>
          </w:p>
        </w:tc>
        <w:tc>
          <w:tcPr/>
          <w:p>
            <w:pPr>
              <w:pStyle w:val="Compact"/>
            </w:pPr>
            <w:r>
              <w:t xml:space="preserve">AES-256-GCM (</w:t>
            </w:r>
            <w:hyperlink r:id="rId96">
              <w:r>
                <w:rPr>
                  <w:rStyle w:val="Hyperlink"/>
                </w:rPr>
                <w:t xml:space="preserve">ADR-0015</w:t>
              </w:r>
            </w:hyperlink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 (</w:t>
            </w:r>
            <w:hyperlink r:id="rId93">
              <w:r>
                <w:rPr>
                  <w:rStyle w:val="Hyperlink"/>
                </w:rPr>
                <w:t xml:space="preserve">ADR-0006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NFE-6</w:t>
            </w:r>
          </w:p>
        </w:tc>
        <w:tc>
          <w:tcPr/>
          <w:p>
            <w:pPr>
              <w:pStyle w:val="Compact"/>
            </w:pPr>
            <w:r>
              <w:t xml:space="preserve">HL7/FHIR</w:t>
            </w:r>
          </w:p>
        </w:tc>
        <w:tc>
          <w:tcPr/>
          <w:p>
            <w:pPr>
              <w:pStyle w:val="Compact"/>
            </w:pPr>
            <w:r>
              <w:t xml:space="preserve">FHIR R4 client in</w:t>
            </w:r>
            <w:r>
              <w:t xml:space="preserve"> </w:t>
            </w:r>
            <w:r>
              <w:rPr>
                <w:rStyle w:val="VerbatimChar"/>
              </w:rPr>
              <w:t xml:space="preserve">OpenMrsService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NFE-7</w:t>
            </w:r>
          </w:p>
        </w:tc>
        <w:tc>
          <w:tcPr/>
          <w:p>
            <w:pPr>
              <w:pStyle w:val="Compact"/>
            </w:pPr>
            <w:r>
              <w:t xml:space="preserve">Retry / fallback / queueing</w:t>
            </w:r>
          </w:p>
        </w:tc>
        <w:tc>
          <w:tcPr/>
          <w:p>
            <w:pPr>
              <w:pStyle w:val="Compact"/>
            </w:pPr>
            <w:r>
              <w:t xml:space="preserve">MassTransit retry + DLQ; OpenMRS outbox voor webhookfailures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NFE-8</w:t>
            </w:r>
          </w:p>
        </w:tc>
        <w:tc>
          <w:tcPr/>
          <w:p>
            <w:pPr>
              <w:pStyle w:val="Compact"/>
            </w:pPr>
            <w:r>
              <w:t xml:space="preserve">UTF-8 karaktersets</w:t>
            </w:r>
          </w:p>
        </w:tc>
        <w:tc>
          <w:tcPr/>
          <w:p>
            <w:pPr>
              <w:pStyle w:val="Compact"/>
            </w:pPr>
            <w:r>
              <w:t xml:space="preserve">Provider-adapters gebruiken UTF-8 in JSON/XML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NFE-9</w:t>
            </w:r>
          </w:p>
        </w:tc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OpenTelemetry + Prometheus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NFE-10</w:t>
            </w:r>
          </w:p>
        </w:tc>
        <w:tc>
          <w:tcPr/>
          <w:p>
            <w:pPr>
              <w:pStyle w:val="Compact"/>
            </w:pPr>
            <w:r>
              <w:t xml:space="preserve">Patiëntdata weg binnen 14 dagen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DataRetentionWorker</w:t>
            </w:r>
            <w:r>
              <w:t xml:space="preserve"> </w:t>
            </w:r>
            <w:r>
              <w:t xml:space="preserve">(§7.3)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NFE-11</w:t>
            </w:r>
          </w:p>
        </w:tc>
        <w:tc>
          <w:tcPr/>
          <w:p>
            <w:pPr>
              <w:pStyle w:val="Compact"/>
            </w:pPr>
            <w:r>
              <w:t xml:space="preserve">Metadata ≤ 1 jaar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webhook_event_logs</w:t>
            </w:r>
            <w:r>
              <w:t xml:space="preserve"> </w:t>
            </w:r>
            <w:r>
              <w:t xml:space="preserve">retentie 365 dagen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NFE-12</w:t>
            </w:r>
          </w:p>
        </w:tc>
        <w:tc>
          <w:tcPr/>
          <w:p>
            <w:pPr>
              <w:pStyle w:val="Compact"/>
            </w:pPr>
            <w:r>
              <w:t xml:space="preserve">Uitbreidbaar naar andere modules</w:t>
            </w:r>
          </w:p>
        </w:tc>
        <w:tc>
          <w:tcPr/>
          <w:p>
            <w:pPr>
              <w:pStyle w:val="Compact"/>
            </w:pPr>
            <w:r>
              <w:t xml:space="preserve">Webhookcontract ondersteunt nieuwe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 </w:t>
            </w:r>
            <w:r>
              <w:t xml:space="preserve">waarden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NFE-13</w:t>
            </w:r>
          </w:p>
        </w:tc>
        <w:tc>
          <w:tcPr/>
          <w:p>
            <w:pPr>
              <w:pStyle w:val="Compact"/>
            </w:pPr>
            <w:r>
              <w:t xml:space="preserve">Tijdzones</w:t>
            </w:r>
          </w:p>
        </w:tc>
        <w:tc>
          <w:tcPr/>
          <w:p>
            <w:pPr>
              <w:pStyle w:val="Compact"/>
            </w:pPr>
            <w:r>
              <w:t xml:space="preserve">Alles UTC; org-tijdzone in</w:t>
            </w:r>
            <w:r>
              <w:t xml:space="preserve"> </w:t>
            </w:r>
            <w:r>
              <w:rPr>
                <w:rStyle w:val="VerbatimChar"/>
              </w:rPr>
              <w:t xml:space="preserve">organization_integration_configs.time_zone_id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Trade-offs die we expliciet hebben geaccepteerd: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Twee ORM’s naast elkaar.</w:t>
      </w:r>
      <w:r>
        <w:t xml:space="preserve"> </w:t>
      </w:r>
      <w:r>
        <w:t xml:space="preserve">EF (Identity) + Dapper (domein) verhoogt cognitive load voor nieuwe devs. Geaccepteerd omdat de domein-queries simpel zijn en N+1-risico’s tellen (</w:t>
      </w:r>
      <w:hyperlink r:id="rId90">
        <w:r>
          <w:rPr>
            <w:rStyle w:val="Hyperlink"/>
          </w:rPr>
          <w:t xml:space="preserve">ADR-0002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Layered folders in plaats van Clean Architecture met aparte projecten.</w:t>
      </w:r>
      <w:r>
        <w:t xml:space="preserve"> </w:t>
      </w:r>
      <w:r>
        <w:t xml:space="preserve">Geen compiler-enforcement van dependency-richting. Geaccepteerd voor projectomvang; refactor naar aparte projecten kan later zonder herschrijven (</w:t>
      </w:r>
      <w:hyperlink r:id="rId37">
        <w:r>
          <w:rPr>
            <w:rStyle w:val="Hyperlink"/>
          </w:rPr>
          <w:t xml:space="preserve">ADR-0011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In-memory MassTransit voor dev.</w:t>
      </w:r>
      <w:r>
        <w:t xml:space="preserve"> </w:t>
      </w:r>
      <w:r>
        <w:t xml:space="preserve">Niet representatief voor productie failure-modes. Geaccepteerd omdat RabbitMQ-setup lokaal te zwaar is voor elke developer (</w:t>
      </w:r>
      <w:hyperlink r:id="rId34">
        <w:r>
          <w:rPr>
            <w:rStyle w:val="Hyperlink"/>
          </w:rPr>
          <w:t xml:space="preserve">ADR-0009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Full OpenMRS container niet in PR-CI.</w:t>
      </w:r>
      <w:r>
        <w:t xml:space="preserve"> </w:t>
      </w:r>
      <w:r>
        <w:t xml:space="preserve">Te traag en te flaky. Vervangen door unit tests op de webhook-contracten en handmatige acceptatietests (</w:t>
      </w:r>
      <w:hyperlink r:id="rId98">
        <w:r>
          <w:rPr>
            <w:rStyle w:val="Hyperlink"/>
          </w:rPr>
          <w:t xml:space="preserve">ADR-0013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02"/>
    <w:bookmarkStart w:id="111" w:name="deployment"/>
    <w:p>
      <w:pPr>
        <w:pStyle w:val="Heading2"/>
      </w:pPr>
      <w:r>
        <w:t xml:space="preserve">10. Deployment</w:t>
      </w:r>
    </w:p>
    <w:bookmarkStart w:id="106" w:name="lokale-ontwikkelomgeving"/>
    <w:p>
      <w:pPr>
        <w:pStyle w:val="Heading3"/>
      </w:pPr>
      <w:r>
        <w:t xml:space="preserve">10.1 Lokale ontwikkelomgeving</w:t>
      </w:r>
    </w:p>
    <w:p>
      <w:pPr>
        <w:pStyle w:val="CaptionedFigure"/>
      </w:pPr>
      <w:r>
        <w:drawing>
          <wp:inline>
            <wp:extent cx="5334000" cy="1946554"/>
            <wp:effectExtent b="0" l="0" r="0" t="0"/>
            <wp:docPr descr="Deployment — dev" title="" id="104" name="Picture"/>
            <a:graphic>
              <a:graphicData uri="http://schemas.openxmlformats.org/drawingml/2006/picture">
                <pic:pic>
                  <pic:nvPicPr>
                    <pic:cNvPr descr="c4/images/09-deployment-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— dev</w:t>
      </w:r>
    </w:p>
    <w:p>
      <w:pPr>
        <w:pStyle w:val="BodyText"/>
      </w:pPr>
      <w:r>
        <w:t xml:space="preserve">Drie compose-projecten op één developer-machine (</w:t>
      </w:r>
      <w:hyperlink r:id="rId22">
        <w:r>
          <w:rPr>
            <w:rStyle w:val="Hyperlink"/>
          </w:rPr>
          <w:t xml:space="preserve">09-deployment.md</w:t>
        </w:r>
      </w:hyperlink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FakeComWorld</w:t>
      </w:r>
      <w:r>
        <w:t xml:space="preserve"> </w:t>
      </w:r>
      <w:r>
        <w:t xml:space="preserve">standalone (</w:t>
      </w:r>
      <w:r>
        <w:rPr>
          <w:rStyle w:val="VerbatimChar"/>
        </w:rPr>
        <w:t xml:space="preserve">:1337</w:t>
      </w:r>
      <w:r>
        <w:t xml:space="preserve">) — simuleert de vier messaging-providers.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OpenMRS distro</w:t>
      </w:r>
      <w:r>
        <w:t xml:space="preserve"> </w:t>
      </w:r>
      <w:r>
        <w:t xml:space="preserve">— gateway (</w:t>
      </w:r>
      <w:r>
        <w:rPr>
          <w:rStyle w:val="VerbatimChar"/>
        </w:rPr>
        <w:t xml:space="preserve">:3032</w:t>
      </w:r>
      <w:r>
        <w:t xml:space="preserve">) + frontend + backend + mariadb.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OpenMRSmoduleBackend</w:t>
      </w:r>
      <w:r>
        <w:t xml:space="preserve"> </w:t>
      </w:r>
      <w:r>
        <w:t xml:space="preserve">— eigen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+ Postgres + frontend op</w:t>
      </w:r>
      <w:r>
        <w:t xml:space="preserve"> </w:t>
      </w:r>
      <w:r>
        <w:rPr>
          <w:rStyle w:val="VerbatimChar"/>
        </w:rPr>
        <w:t xml:space="preserve">:3001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orkestreert de opstartvolgorde en sourcet credentials uit één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zodat er geen drift is tussen services.</w:t>
      </w:r>
    </w:p>
    <w:p>
      <w:pPr>
        <w:pStyle w:val="BodyText"/>
      </w:pPr>
      <w:r>
        <w:rPr>
          <w:b/>
          <w:bCs/>
        </w:rPr>
        <w:t xml:space="preserve">Container-hardening op de API</w:t>
      </w:r>
      <w:r>
        <w:t xml:space="preserve"> </w:t>
      </w:r>
      <w:r>
        <w:t xml:space="preserve">(gelijk aan productie):</w:t>
      </w:r>
      <w:r>
        <w:t xml:space="preserve"> </w:t>
      </w:r>
      <w:r>
        <w:rPr>
          <w:rStyle w:val="VerbatimChar"/>
        </w:rPr>
        <w:t xml:space="preserve">read_only: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cap_drop: 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no-new-privileges:true</w:t>
      </w:r>
      <w:r>
        <w:t xml:space="preserve">, tmpfs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port-binding</w:t>
      </w:r>
      <w:r>
        <w:t xml:space="preserve"> </w:t>
      </w:r>
      <w:r>
        <w:rPr>
          <w:rStyle w:val="VerbatimChar"/>
        </w:rPr>
        <w:t xml:space="preserve">127.0.0.1:5111</w:t>
      </w:r>
      <w:r>
        <w:t xml:space="preserve"> </w:t>
      </w:r>
      <w:r>
        <w:t xml:space="preserve">(niet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).</w:t>
      </w:r>
    </w:p>
    <w:bookmarkEnd w:id="106"/>
    <w:bookmarkStart w:id="110" w:name="productie-target"/>
    <w:p>
      <w:pPr>
        <w:pStyle w:val="Heading3"/>
      </w:pPr>
      <w:r>
        <w:t xml:space="preserve">10.2 Productie-target</w:t>
      </w:r>
    </w:p>
    <w:p>
      <w:pPr>
        <w:pStyle w:val="CaptionedFigure"/>
      </w:pPr>
      <w:r>
        <w:drawing>
          <wp:inline>
            <wp:extent cx="5334000" cy="2906748"/>
            <wp:effectExtent b="0" l="0" r="0" t="0"/>
            <wp:docPr descr="Deployment — prod" title="" id="108" name="Picture"/>
            <a:graphic>
              <a:graphicData uri="http://schemas.openxmlformats.org/drawingml/2006/picture">
                <pic:pic>
                  <pic:nvPicPr>
                    <pic:cNvPr descr="c4/images/09-deployment-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— prod</w:t>
      </w:r>
    </w:p>
    <w:p>
      <w:pPr>
        <w:pStyle w:val="BodyText"/>
      </w:pPr>
      <w:r>
        <w:t xml:space="preserve">Drielagig: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DMZ:</w:t>
      </w:r>
      <w:r>
        <w:t xml:space="preserve"> </w:t>
      </w:r>
      <w:r>
        <w:t xml:space="preserve">reverse proxy met TLS 1.3-terminatie, HSTS, HTTPS-redirect.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App-tier:</w:t>
      </w:r>
      <w:r>
        <w:t xml:space="preserve"> </w:t>
      </w:r>
      <w:r>
        <w:t xml:space="preserve">frontend pod, API pod, RabbitMQ pod. Geen directe internet-toegang behalve via de proxy.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Data-tier (privé):</w:t>
      </w:r>
      <w:r>
        <w:t xml:space="preserve"> </w:t>
      </w:r>
      <w:r>
        <w:t xml:space="preserve">PostgreSQL met AES-at-rest en backups. Geen public port.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Prometheus scrape op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via OpenTelemetry.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Externe afhankelijkheden:</w:t>
      </w:r>
      <w:r>
        <w:t xml:space="preserve"> </w:t>
      </w:r>
      <w:r>
        <w:t xml:space="preserve">OpenMRS EMR (FHIR R4 + webhook) en de vier messaging-providers buiten het cluster.</w:t>
      </w:r>
    </w:p>
    <w:p>
      <w:pPr>
        <w:pStyle w:val="FirstParagraph"/>
      </w:pPr>
      <w:r>
        <w:t xml:space="preserve">Belangrijke productie-eisen die in dev al worden gespiegeld: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Maatregel</w:t>
            </w:r>
          </w:p>
        </w:tc>
        <w:tc>
          <w:tcPr/>
          <w:p>
            <w:pPr>
              <w:pStyle w:val="Compact"/>
            </w:pPr>
            <w:r>
              <w:t xml:space="preserve">Implementatie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Reverse proxy +</w:t>
            </w:r>
            <w:r>
              <w:t xml:space="preserve"> </w:t>
            </w:r>
            <w:r>
              <w:rPr>
                <w:rStyle w:val="VerbatimChar"/>
              </w:rPr>
              <w:t xml:space="preserve">UseHsts()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UseHttpsRedirection()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DB-isolatie</w:t>
            </w:r>
          </w:p>
        </w:tc>
        <w:tc>
          <w:tcPr/>
          <w:p>
            <w:pPr>
              <w:pStyle w:val="Compact"/>
            </w:pPr>
            <w:r>
              <w:t xml:space="preserve">PostgreSQL geen public port, alleen backend-netwerk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Container-hardening</w:t>
            </w:r>
          </w:p>
        </w:tc>
        <w:tc>
          <w:tcPr/>
          <w:p>
            <w:pPr>
              <w:pStyle w:val="Compact"/>
            </w:pPr>
            <w:r>
              <w:t xml:space="preserve">read-only fs, cap_drop ALL, no-new-privileges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Geen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in prod — Azure Key Vault / Kubernetes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Whitelist via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, geen wildcard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5/min auth, 10/min messaging, 100/min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PII at rest in PostgreSQL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2" w:name="risicos-en-vervolgstappen"/>
    <w:p>
      <w:pPr>
        <w:pStyle w:val="Heading2"/>
      </w:pPr>
      <w:r>
        <w:t xml:space="preserve">11. Risico’s en vervolgstappen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Risico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Beheersing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Layered structuur zonder compiler-enforcement leidt op termijn tot leakage van</w:t>
            </w:r>
            <w:r>
              <w:t xml:space="preserve"> </w:t>
            </w:r>
            <w:r>
              <w:rPr>
                <w:rStyle w:val="VerbatimChar"/>
              </w:rPr>
              <w:t xml:space="preserve">Infrastructure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Code-rot, lastige refactor later.</w:t>
            </w:r>
          </w:p>
        </w:tc>
        <w:tc>
          <w:tcPr/>
          <w:p>
            <w:pPr>
              <w:pStyle w:val="Compact"/>
            </w:pPr>
            <w:r>
              <w:t xml:space="preserve">Reviewchecklist + grep-based CI-check; splitsing naar aparte</w:t>
            </w:r>
            <w:r>
              <w:t xml:space="preserve"> </w:t>
            </w:r>
            <w:r>
              <w:rPr>
                <w:rStyle w:val="VerbatimChar"/>
              </w:rPr>
              <w:t xml:space="preserve">.csproj</w:t>
            </w:r>
            <w:r>
              <w:t xml:space="preserve">’s wanneer team groeit (</w:t>
            </w:r>
            <w:hyperlink r:id="rId37">
              <w:r>
                <w:rPr>
                  <w:rStyle w:val="Hyperlink"/>
                </w:rPr>
                <w:t xml:space="preserve">ADR-0011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Encryptiesleutel-rotatie is nog handmatig.</w:t>
            </w:r>
          </w:p>
        </w:tc>
        <w:tc>
          <w:tcPr/>
          <w:p>
            <w:pPr>
              <w:pStyle w:val="Compact"/>
            </w:pPr>
            <w:r>
              <w:t xml:space="preserve">Verloren toegang tot oude data bij key-wissel.</w:t>
            </w:r>
          </w:p>
        </w:tc>
        <w:tc>
          <w:tcPr/>
          <w:p>
            <w:pPr>
              <w:pStyle w:val="Compact"/>
            </w:pPr>
            <w:r>
              <w:t xml:space="preserve">Toekomstige ADR voor key-versioning (genoemd in</w:t>
            </w:r>
            <w:r>
              <w:t xml:space="preserve"> </w:t>
            </w:r>
            <w:hyperlink r:id="rId96">
              <w:r>
                <w:rPr>
                  <w:rStyle w:val="Hyperlink"/>
                </w:rPr>
                <w:t xml:space="preserve">ADR-0015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In-memory MassTransit dev wijkt af van RabbitMQ prod.</w:t>
            </w:r>
          </w:p>
        </w:tc>
        <w:tc>
          <w:tcPr/>
          <w:p>
            <w:pPr>
              <w:pStyle w:val="Compact"/>
            </w:pPr>
            <w:r>
              <w:t xml:space="preserve">Bugs die alleen in prod opduiken (message-ordering, persistence).</w:t>
            </w:r>
          </w:p>
        </w:tc>
        <w:tc>
          <w:tcPr/>
          <w:p>
            <w:pPr>
              <w:pStyle w:val="Compact"/>
            </w:pPr>
            <w:r>
              <w:t xml:space="preserve">Smoke tests met RabbitMQ in staging voordat een release naar prod gaat.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OpenMRS-integratie wordt niet in PR-CI gevalideerd.</w:t>
            </w:r>
          </w:p>
        </w:tc>
        <w:tc>
          <w:tcPr/>
          <w:p>
            <w:pPr>
              <w:pStyle w:val="Compact"/>
            </w:pPr>
            <w:r>
              <w:t xml:space="preserve">Breaking changes in OpenMRS resource-shape worden laat ontdekt.</w:t>
            </w:r>
          </w:p>
        </w:tc>
        <w:tc>
          <w:tcPr/>
          <w:p>
            <w:pPr>
              <w:pStyle w:val="Compact"/>
            </w:pPr>
            <w:r>
              <w:t xml:space="preserve">Wekelijkse handmatige acceptatietest tegen de full distro.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Geen formele key-management / HSM in productie.</w:t>
            </w:r>
          </w:p>
        </w:tc>
        <w:tc>
          <w:tcPr/>
          <w:p>
            <w:pPr>
              <w:pStyle w:val="Compact"/>
            </w:pPr>
            <w:r>
              <w:t xml:space="preserve">Bij host-compromise is</w:t>
            </w:r>
            <w:r>
              <w:t xml:space="preserve"> </w:t>
            </w:r>
            <w:r>
              <w:rPr>
                <w:rStyle w:val="VerbatimChar"/>
              </w:rPr>
              <w:t xml:space="preserve">SECURITY_ENCRYPTION_KEY</w:t>
            </w:r>
            <w:r>
              <w:t xml:space="preserve"> </w:t>
            </w:r>
            <w:r>
              <w:t xml:space="preserve">te lezen.</w:t>
            </w:r>
          </w:p>
        </w:tc>
        <w:tc>
          <w:tcPr/>
          <w:p>
            <w:pPr>
              <w:pStyle w:val="Compact"/>
            </w:pPr>
            <w:r>
              <w:t xml:space="preserve">Migratie naar Azure Key Vault / AWS KMS als onderdeel van eerste prod-deploy.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4" w:name="conclusie"/>
    <w:p>
      <w:pPr>
        <w:pStyle w:val="Heading2"/>
      </w:pPr>
      <w:r>
        <w:t xml:space="preserve">12. Conclusie</w:t>
      </w:r>
    </w:p>
    <w:p>
      <w:pPr>
        <w:pStyle w:val="FirstParagraph"/>
      </w:pPr>
      <w:r>
        <w:t xml:space="preserve">De architectuur volgt drie kerngedachten: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Eén deployable, meerdere zorgvuldig gescheiden lagen.</w:t>
      </w:r>
      <w:r>
        <w:t xml:space="preserve"> </w:t>
      </w:r>
      <w:r>
        <w:t xml:space="preserve">De layered structuur (</w:t>
      </w:r>
      <w:hyperlink r:id="rId37">
        <w:r>
          <w:rPr>
            <w:rStyle w:val="Hyperlink"/>
          </w:rPr>
          <w:t xml:space="preserve">ADR-0011</w:t>
        </w:r>
      </w:hyperlink>
      <w:r>
        <w:t xml:space="preserve">) houdt complexiteit beheersbaar zonder vroege over-engineering richting microservices.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Event-driven waar latency telt, synchroon waar UX telt.</w:t>
      </w:r>
      <w:r>
        <w:t xml:space="preserve"> </w:t>
      </w:r>
      <w:r>
        <w:t xml:space="preserve">Reminders lopen async via MassTransit (</w:t>
      </w:r>
      <w:hyperlink r:id="rId34">
        <w:r>
          <w:rPr>
            <w:rStyle w:val="Hyperlink"/>
          </w:rPr>
          <w:t xml:space="preserve">ADR-0009</w:t>
        </w:r>
      </w:hyperlink>
      <w:r>
        <w:t xml:space="preserve">); de zorgmedewerker krijgt direct response in de UI.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Security en privacy zijn standaard.</w:t>
      </w:r>
      <w:r>
        <w:t xml:space="preserve"> </w:t>
      </w:r>
      <w:r>
        <w:t xml:space="preserve">AES-256-GCM + HMAC-deterministic lookup (</w:t>
      </w:r>
      <w:hyperlink r:id="rId96">
        <w:r>
          <w:rPr>
            <w:rStyle w:val="Hyperlink"/>
          </w:rPr>
          <w:t xml:space="preserve">ADR-0015</w:t>
        </w:r>
      </w:hyperlink>
      <w:r>
        <w:t xml:space="preserve">), signed webhooks (</w:t>
      </w:r>
      <w:hyperlink r:id="rId42">
        <w:r>
          <w:rPr>
            <w:rStyle w:val="Hyperlink"/>
          </w:rPr>
          <w:t xml:space="preserve">ADR-0012</w:t>
        </w:r>
      </w:hyperlink>
      <w:r>
        <w:t xml:space="preserve">), data-retentie via worker (</w:t>
      </w:r>
      <w:hyperlink r:id="rId95">
        <w:r>
          <w:rPr>
            <w:rStyle w:val="Hyperlink"/>
          </w:rPr>
          <w:t xml:space="preserve">ADR-0010</w:t>
        </w:r>
      </w:hyperlink>
      <w:r>
        <w:t xml:space="preserve">), en geen secrets in git (</w:t>
      </w:r>
      <w:hyperlink r:id="rId93">
        <w:r>
          <w:rPr>
            <w:rStyle w:val="Hyperlink"/>
          </w:rPr>
          <w:t xml:space="preserve">ADR-0006</w:t>
        </w:r>
      </w:hyperlink>
      <w:r>
        <w:t xml:space="preserve">).</w:t>
      </w:r>
    </w:p>
    <w:p>
      <w:pPr>
        <w:pStyle w:val="FirstParagraph"/>
      </w:pPr>
      <w:r>
        <w:t xml:space="preserve">Volledige diagrammen:</w:t>
      </w:r>
      <w:r>
        <w:t xml:space="preserve"> </w:t>
      </w:r>
      <w:hyperlink r:id="rId113">
        <w:r>
          <w:rPr>
            <w:rStyle w:val="Hyperlink"/>
          </w:rPr>
          <w:t xml:space="preserve">c4/</w:t>
        </w:r>
      </w:hyperlink>
      <w:r>
        <w:t xml:space="preserve">. Volledige beslissingen:</w:t>
      </w:r>
      <w:r>
        <w:t xml:space="preserve"> </w:t>
      </w:r>
      <w:hyperlink r:id="rId20">
        <w:r>
          <w:rPr>
            <w:rStyle w:val="Hyperlink"/>
          </w:rPr>
          <w:t xml:space="preserve">adr/</w:t>
        </w:r>
      </w:hyperlink>
      <w:r>
        <w:t xml:space="preserve">.</w:t>
      </w:r>
    </w:p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82" Target="media/rId82.png" /><Relationship Type="http://schemas.openxmlformats.org/officeDocument/2006/relationships/image" Id="rId65" Target="media/rId65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hyperlink" Id="rId20" Target="adr/" TargetMode="External" /><Relationship Type="http://schemas.openxmlformats.org/officeDocument/2006/relationships/hyperlink" Id="rId87" Target="adr/0001-record-architecture-decisions.md" TargetMode="External" /><Relationship Type="http://schemas.openxmlformats.org/officeDocument/2006/relationships/hyperlink" Id="rId90" Target="adr/0002-use-dapper-as-orm.md" TargetMode="External" /><Relationship Type="http://schemas.openxmlformats.org/officeDocument/2006/relationships/hyperlink" Id="rId41" Target="adr/0003-use-identity-framework-for-auth.md" TargetMode="External" /><Relationship Type="http://schemas.openxmlformats.org/officeDocument/2006/relationships/hyperlink" Id="rId35" Target="adr/0004-use-postgresql.md" TargetMode="External" /><Relationship Type="http://schemas.openxmlformats.org/officeDocument/2006/relationships/hyperlink" Id="rId92" Target="adr/0005-use-docker-for-deployment.md" TargetMode="External" /><Relationship Type="http://schemas.openxmlformats.org/officeDocument/2006/relationships/hyperlink" Id="rId93" Target="adr/0006-secrets-via-env-file.md" TargetMode="External" /><Relationship Type="http://schemas.openxmlformats.org/officeDocument/2006/relationships/hyperlink" Id="rId33" Target="adr/0007-nextjs-for-frontend.md" TargetMode="External" /><Relationship Type="http://schemas.openxmlformats.org/officeDocument/2006/relationships/hyperlink" Id="rId94" Target="adr/0008-webhook-for-openmrs-integration.md" TargetMode="External" /><Relationship Type="http://schemas.openxmlformats.org/officeDocument/2006/relationships/hyperlink" Id="rId34" Target="adr/0009-masstransit-for-async-messaging.md" TargetMode="External" /><Relationship Type="http://schemas.openxmlformats.org/officeDocument/2006/relationships/hyperlink" Id="rId95" Target="adr/0010-data-retention-and-encryption-policy.md" TargetMode="External" /><Relationship Type="http://schemas.openxmlformats.org/officeDocument/2006/relationships/hyperlink" Id="rId37" Target="adr/0011-layered-folder-structure.md" TargetMode="External" /><Relationship Type="http://schemas.openxmlformats.org/officeDocument/2006/relationships/hyperlink" Id="rId42" Target="adr/0012-signed-openmrs-webhook-contract.md" TargetMode="External" /><Relationship Type="http://schemas.openxmlformats.org/officeDocument/2006/relationships/hyperlink" Id="rId98" Target="adr/0013-pragmatic-automated-test-strategy.md" TargetMode="External" /><Relationship Type="http://schemas.openxmlformats.org/officeDocument/2006/relationships/hyperlink" Id="rId88" Target="adr/0014-ci-quality-gates.md" TargetMode="External" /><Relationship Type="http://schemas.openxmlformats.org/officeDocument/2006/relationships/hyperlink" Id="rId96" Target="adr/0015-encryption-and-webhook-security-posture.md" TargetMode="External" /><Relationship Type="http://schemas.openxmlformats.org/officeDocument/2006/relationships/hyperlink" Id="rId9" Target="adr/README.md" TargetMode="External" /><Relationship Type="http://schemas.openxmlformats.org/officeDocument/2006/relationships/hyperlink" Id="rId113" Target="c4/" TargetMode="External" /><Relationship Type="http://schemas.openxmlformats.org/officeDocument/2006/relationships/hyperlink" Id="rId13" Target="c4/01-context.md" TargetMode="External" /><Relationship Type="http://schemas.openxmlformats.org/officeDocument/2006/relationships/hyperlink" Id="rId14" Target="c4/02-containers.md" TargetMode="External" /><Relationship Type="http://schemas.openxmlformats.org/officeDocument/2006/relationships/hyperlink" Id="rId15" Target="c4/03-components.md" TargetMode="External" /><Relationship Type="http://schemas.openxmlformats.org/officeDocument/2006/relationships/hyperlink" Id="rId18" Target="c4/04-reminder-process.md" TargetMode="External" /><Relationship Type="http://schemas.openxmlformats.org/officeDocument/2006/relationships/hyperlink" Id="rId16" Target="c4/05-class-diagram.md" TargetMode="External" /><Relationship Type="http://schemas.openxmlformats.org/officeDocument/2006/relationships/hyperlink" Id="rId12" Target="c4/06-use-case.md" TargetMode="External" /><Relationship Type="http://schemas.openxmlformats.org/officeDocument/2006/relationships/hyperlink" Id="rId19" Target="c4/07-user-flow.md" TargetMode="External" /><Relationship Type="http://schemas.openxmlformats.org/officeDocument/2006/relationships/hyperlink" Id="rId17" Target="c4/08-er-diagram.md" TargetMode="External" /><Relationship Type="http://schemas.openxmlformats.org/officeDocument/2006/relationships/hyperlink" Id="rId22" Target="c4/09-deployment.md" TargetMode="External" /><Relationship Type="http://schemas.openxmlformats.org/officeDocument/2006/relationships/hyperlink" Id="rId10" Target="c4/README.md" TargetMode="External" /><Relationship Type="http://schemas.openxmlformats.org/officeDocument/2006/relationships/hyperlink" Id="rId21" Target="requirements.md" TargetMode="External" /><Relationship Type="http://schemas.openxmlformats.org/officeDocument/2006/relationships/hyperlink" Id="rId101" Target="webhook-openmrs-backen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dr/" TargetMode="External" /><Relationship Type="http://schemas.openxmlformats.org/officeDocument/2006/relationships/hyperlink" Id="rId87" Target="adr/0001-record-architecture-decisions.md" TargetMode="External" /><Relationship Type="http://schemas.openxmlformats.org/officeDocument/2006/relationships/hyperlink" Id="rId90" Target="adr/0002-use-dapper-as-orm.md" TargetMode="External" /><Relationship Type="http://schemas.openxmlformats.org/officeDocument/2006/relationships/hyperlink" Id="rId41" Target="adr/0003-use-identity-framework-for-auth.md" TargetMode="External" /><Relationship Type="http://schemas.openxmlformats.org/officeDocument/2006/relationships/hyperlink" Id="rId35" Target="adr/0004-use-postgresql.md" TargetMode="External" /><Relationship Type="http://schemas.openxmlformats.org/officeDocument/2006/relationships/hyperlink" Id="rId92" Target="adr/0005-use-docker-for-deployment.md" TargetMode="External" /><Relationship Type="http://schemas.openxmlformats.org/officeDocument/2006/relationships/hyperlink" Id="rId93" Target="adr/0006-secrets-via-env-file.md" TargetMode="External" /><Relationship Type="http://schemas.openxmlformats.org/officeDocument/2006/relationships/hyperlink" Id="rId33" Target="adr/0007-nextjs-for-frontend.md" TargetMode="External" /><Relationship Type="http://schemas.openxmlformats.org/officeDocument/2006/relationships/hyperlink" Id="rId94" Target="adr/0008-webhook-for-openmrs-integration.md" TargetMode="External" /><Relationship Type="http://schemas.openxmlformats.org/officeDocument/2006/relationships/hyperlink" Id="rId34" Target="adr/0009-masstransit-for-async-messaging.md" TargetMode="External" /><Relationship Type="http://schemas.openxmlformats.org/officeDocument/2006/relationships/hyperlink" Id="rId95" Target="adr/0010-data-retention-and-encryption-policy.md" TargetMode="External" /><Relationship Type="http://schemas.openxmlformats.org/officeDocument/2006/relationships/hyperlink" Id="rId37" Target="adr/0011-layered-folder-structure.md" TargetMode="External" /><Relationship Type="http://schemas.openxmlformats.org/officeDocument/2006/relationships/hyperlink" Id="rId42" Target="adr/0012-signed-openmrs-webhook-contract.md" TargetMode="External" /><Relationship Type="http://schemas.openxmlformats.org/officeDocument/2006/relationships/hyperlink" Id="rId98" Target="adr/0013-pragmatic-automated-test-strategy.md" TargetMode="External" /><Relationship Type="http://schemas.openxmlformats.org/officeDocument/2006/relationships/hyperlink" Id="rId88" Target="adr/0014-ci-quality-gates.md" TargetMode="External" /><Relationship Type="http://schemas.openxmlformats.org/officeDocument/2006/relationships/hyperlink" Id="rId96" Target="adr/0015-encryption-and-webhook-security-posture.md" TargetMode="External" /><Relationship Type="http://schemas.openxmlformats.org/officeDocument/2006/relationships/hyperlink" Id="rId9" Target="adr/README.md" TargetMode="External" /><Relationship Type="http://schemas.openxmlformats.org/officeDocument/2006/relationships/hyperlink" Id="rId113" Target="c4/" TargetMode="External" /><Relationship Type="http://schemas.openxmlformats.org/officeDocument/2006/relationships/hyperlink" Id="rId13" Target="c4/01-context.md" TargetMode="External" /><Relationship Type="http://schemas.openxmlformats.org/officeDocument/2006/relationships/hyperlink" Id="rId14" Target="c4/02-containers.md" TargetMode="External" /><Relationship Type="http://schemas.openxmlformats.org/officeDocument/2006/relationships/hyperlink" Id="rId15" Target="c4/03-components.md" TargetMode="External" /><Relationship Type="http://schemas.openxmlformats.org/officeDocument/2006/relationships/hyperlink" Id="rId18" Target="c4/04-reminder-process.md" TargetMode="External" /><Relationship Type="http://schemas.openxmlformats.org/officeDocument/2006/relationships/hyperlink" Id="rId16" Target="c4/05-class-diagram.md" TargetMode="External" /><Relationship Type="http://schemas.openxmlformats.org/officeDocument/2006/relationships/hyperlink" Id="rId12" Target="c4/06-use-case.md" TargetMode="External" /><Relationship Type="http://schemas.openxmlformats.org/officeDocument/2006/relationships/hyperlink" Id="rId19" Target="c4/07-user-flow.md" TargetMode="External" /><Relationship Type="http://schemas.openxmlformats.org/officeDocument/2006/relationships/hyperlink" Id="rId17" Target="c4/08-er-diagram.md" TargetMode="External" /><Relationship Type="http://schemas.openxmlformats.org/officeDocument/2006/relationships/hyperlink" Id="rId22" Target="c4/09-deployment.md" TargetMode="External" /><Relationship Type="http://schemas.openxmlformats.org/officeDocument/2006/relationships/hyperlink" Id="rId10" Target="c4/README.md" TargetMode="External" /><Relationship Type="http://schemas.openxmlformats.org/officeDocument/2006/relationships/hyperlink" Id="rId21" Target="requirements.md" TargetMode="External" /><Relationship Type="http://schemas.openxmlformats.org/officeDocument/2006/relationships/hyperlink" Id="rId101" Target="webhook-openmrs-backen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2026-05-25T13:07:24Z</dcterms:created>
  <dcterms:modified xsi:type="dcterms:W3CDTF">2026-05-25T13:07:24Z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