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7.png" ContentType="image/png"/>
  <Override PartName="/word/media/image36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Una TM e’ una 7-pla (Q,Σ,Γ,δ,q 0 ,B,F) con: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insieme finito di stati Q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alfabeto di input Σ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alfabeto del nastro Γ (contiene Σ)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Una funzione di transizione δ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Uno stato iniziale q 0 ∈Q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simbolo blank B∈Γ-Σ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Tutto il nastro, meno l’input, all’inizio e’ blank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insieme di stati finali F⊆Q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----------------------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δ(q, Z) e’ indefinito oppure e’ una tripla dalla forma (p, Y, D).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 e’ uno stato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 e’ un nuovo simbolo del nastro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 e’ una direzione, L o R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</w:t>
        <w:br/>
        <w:br/>
        <w:t>Descrizione Istantantea (ID)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αqβ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nastro – testina / stato – carattere che legge la testina – nastro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q00⊦0q0⊦00q⊦0q01⊦00q1⊦000f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-----------------------------</w:t>
        <w:br/>
        <w:br/>
        <w:t>Linguaggio di una TM: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L(M) = {w | q 0 w⊦*αqβ, con q finale}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</w:t>
        <w:br/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Tm NON Deterministiche: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funzione di transizione ha, come output, un insieme di triple stato-simbolo-direzione (le TM deterministiche hanno al piu' una tripla)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Simulare una NTM con una DTM: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832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Ci sono 2 tracce: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prima traccia contiene le ID della NTM, che vengono lette dalla DTM.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DTM, quindi, cerca nell'ID corrente lo stato della ID per poter vedere quali sono le possibili mosse.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Una seconda traccia è usata per marcare la ID corrente (X) e per creare le nuove ID in caso di non determinismo, ne crea una per ogni mossa possibile.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Tutte le ID create poi vengono aggiunte nella prima traccia in fondo alla coda.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Dopodichè, sposa la marcatura avanti e prende la prossima ID.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ferma quando trova un ID con stato accettante.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PROPRIETÀ DI CHIUSURA PER LINGUAGGI RICORSIVI E R.E.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Entrambi chiusi rispetto a unione, concatenazione, stella di Kleene, reverse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intersezione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Ricorsivi chiusi anche rispetto a differenza e complemento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Unione: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Costruiamo una TM con 2 nastri che prima copia l’input sul secondo nastro e poi simula “in parallelo” le due TM (M1 sul primo nastro, M2 sul secondo nastro)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Unione - Ricorsivi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601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Unione: RE</w:t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838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Intersezione – Ricorsivi:</w:t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0614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Intersezione – R.E.</w:t>
      </w:r>
    </w:p>
    <w:p>
      <w:pPr>
        <w:pStyle w:val="PreformattedTex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156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bookmarkStart w:id="0" w:name="__DdeLink__3_1107534774"/>
      <w:bookmarkEnd w:id="0"/>
      <w:r>
        <w:rPr>
          <w:rFonts w:ascii="Calibri" w:hAnsi="Calibri"/>
          <w:b/>
          <w:bCs/>
          <w:sz w:val="22"/>
          <w:szCs w:val="22"/>
        </w:rPr>
        <w:t>Differenza – Complemento - Ricorsivi: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Sempre come la figura sopra, M1 accetta e M2 non accetta (perché è il complemento)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0590" cy="2952115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TM per il complemento di L.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L è ricorsivo, allora anche L complementato è ricorsivo, perché l'algoritmo termina sempre.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Differenza – Complemento – RE: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L e L complementato sono R.E., allora sia L che L complementato sono ricorsivi.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63875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TM che accetta sia L che L complementato, che sono R.E.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w € L, allora M1 accetta, M2 andrà avanti all'infinito, ma M accetta perché M1 ha accettato.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w € L complementato, allora M2 accetta, quindi M rifiuterà.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input quindi M o accetta o termina, quindi sia L che L complementato sono ricorsivi.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Concatenazione – R.E. 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Siano L 1 =L(M 1 ) e L 2 =L(M 2 )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Assumiamo che M 1 e M 2 siano TM con un solo nastro semi-infinito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Costruiamo una TM a due nastri nondeterministica M: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Costruiamo una TM a due nastri nondeterministica M: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Prova un troncamento dell’input w = xy (crea un'istanza per ogni troncamento possibile)</w:t>
        <w:br/>
      </w:r>
    </w:p>
    <w:p>
      <w:pPr>
        <w:pStyle w:val="PreformattedText"/>
        <w:numPr>
          <w:ilvl w:val="0"/>
          <w:numId w:val="1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Muove y sul secondo nastro</w:t>
        <w:br/>
      </w:r>
    </w:p>
    <w:p>
      <w:pPr>
        <w:pStyle w:val="PreformattedText"/>
        <w:numPr>
          <w:ilvl w:val="0"/>
          <w:numId w:val="1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Simula M1 su x, M2 su y</w:t>
        <w:br/>
      </w:r>
    </w:p>
    <w:p>
      <w:pPr>
        <w:pStyle w:val="PreformattedText"/>
        <w:numPr>
          <w:ilvl w:val="0"/>
          <w:numId w:val="1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Accetta se entrambe accettano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Concatenazione – Ricorsivi: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Come prima, la NTM accetta se entrambe le TM accettano per un qualche troncamento di w = xy, o rifiuta se tutti i possibili troncamenti falliscono.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Stella di Kleene: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Come per la concatenzazione, si prova un possibile troncamento e si accetta se vengono accettati tutti i pezzi.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png"/><Relationship Id="rId3" Type="http://schemas.openxmlformats.org/officeDocument/2006/relationships/image" Target="media/image32.png"/><Relationship Id="rId4" Type="http://schemas.openxmlformats.org/officeDocument/2006/relationships/image" Target="media/image33.png"/><Relationship Id="rId5" Type="http://schemas.openxmlformats.org/officeDocument/2006/relationships/image" Target="media/image34.png"/><Relationship Id="rId6" Type="http://schemas.openxmlformats.org/officeDocument/2006/relationships/image" Target="media/image35.png"/><Relationship Id="rId7" Type="http://schemas.openxmlformats.org/officeDocument/2006/relationships/image" Target="media/image36.png"/><Relationship Id="rId8" Type="http://schemas.openxmlformats.org/officeDocument/2006/relationships/image" Target="media/image3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