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E0246">
      <w:pPr>
        <w:spacing w:after="120"/>
        <w:jc w:val="center"/>
      </w:pPr>
      <w:r>
        <w:rPr>
          <w:b/>
          <w:sz w:val="32"/>
        </w:rPr>
        <w:t>Supplementary Figures S1-S5</w:t>
      </w:r>
    </w:p>
    <w:p w14:paraId="290159A9">
      <w:pPr>
        <w:spacing w:after="180"/>
        <w:jc w:val="center"/>
        <w:rPr>
          <w:i/>
          <w:sz w:val="20"/>
        </w:rPr>
      </w:pPr>
      <w:bookmarkStart w:id="0" w:name="_GoBack"/>
      <w:bookmarkEnd w:id="0"/>
      <w:r>
        <w:rPr>
          <w:i/>
          <w:sz w:val="20"/>
        </w:rPr>
        <w:t>ConsistPix: A Collaborative Multi-level Fusion Framework for Few-Shot Cross-Modality Medical Image Translation</w:t>
      </w:r>
    </w:p>
    <w:p w14:paraId="17A39676">
      <w:pPr>
        <w:spacing w:after="180"/>
        <w:jc w:val="center"/>
        <w:rPr>
          <w:i/>
          <w:sz w:val="20"/>
        </w:rPr>
      </w:pPr>
    </w:p>
    <w:p w14:paraId="1242CDA2">
      <w:pPr>
        <w:spacing w:after="120"/>
        <w:jc w:val="center"/>
      </w:pPr>
      <w:r>
        <w:rPr>
          <w:b/>
          <w:sz w:val="22"/>
        </w:rPr>
        <w:t>Figure S1. Quantitative comparison of MRI-to-MRI translation performance across multiple tasks and datasets.</w:t>
      </w:r>
    </w:p>
    <w:p w14:paraId="07D6095D">
      <w:pPr>
        <w:spacing w:after="120"/>
        <w:jc w:val="center"/>
      </w:pPr>
      <w:r>
        <w:drawing>
          <wp:inline distT="0" distB="0" distL="0" distR="0">
            <wp:extent cx="5715000" cy="1337310"/>
            <wp:effectExtent l="0" t="0" r="0" b="15240"/>
            <wp:docPr id="1" name="resul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ult_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3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8434">
      <w:pPr>
        <w:spacing w:after="120"/>
        <w:jc w:val="center"/>
      </w:pPr>
    </w:p>
    <w:p w14:paraId="2D9197E0">
      <w:pPr>
        <w:spacing w:after="120"/>
        <w:jc w:val="center"/>
      </w:pPr>
      <w:r>
        <w:rPr>
          <w:b/>
          <w:sz w:val="22"/>
        </w:rPr>
        <w:t>Figure S2. Multi-metric quantitative heatmap comparison of MRI-to-CT and CBCT-to-CT translation on the SynthRAD 2025 dataset.</w:t>
      </w:r>
    </w:p>
    <w:p w14:paraId="0DE4BA7B">
      <w:pPr>
        <w:spacing w:after="120"/>
        <w:jc w:val="center"/>
      </w:pPr>
      <w:r>
        <w:drawing>
          <wp:inline distT="0" distB="0" distL="0" distR="0">
            <wp:extent cx="5715000" cy="2449195"/>
            <wp:effectExtent l="0" t="0" r="0" b="8255"/>
            <wp:docPr id="2" name="result_2_new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ult_2_new1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4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A014">
      <w:pPr>
        <w:spacing w:after="120"/>
        <w:jc w:val="center"/>
        <w:rPr>
          <w:b/>
          <w:sz w:val="22"/>
        </w:rPr>
      </w:pPr>
    </w:p>
    <w:p w14:paraId="34ACD59B">
      <w:pPr>
        <w:spacing w:after="120"/>
        <w:jc w:val="center"/>
        <w:rPr>
          <w:b/>
          <w:sz w:val="22"/>
        </w:rPr>
      </w:pPr>
    </w:p>
    <w:p w14:paraId="71C5D6D6">
      <w:pPr>
        <w:spacing w:after="120"/>
        <w:jc w:val="center"/>
        <w:rPr>
          <w:b/>
          <w:sz w:val="22"/>
        </w:rPr>
      </w:pPr>
    </w:p>
    <w:p w14:paraId="2AEF834E">
      <w:pPr>
        <w:spacing w:after="120"/>
        <w:jc w:val="center"/>
        <w:rPr>
          <w:b/>
          <w:sz w:val="22"/>
        </w:rPr>
      </w:pPr>
    </w:p>
    <w:p w14:paraId="0B86F33E">
      <w:pPr>
        <w:spacing w:after="120"/>
        <w:jc w:val="center"/>
        <w:rPr>
          <w:b/>
          <w:sz w:val="22"/>
        </w:rPr>
      </w:pPr>
    </w:p>
    <w:p w14:paraId="3383BBEC">
      <w:pPr>
        <w:spacing w:after="120"/>
        <w:jc w:val="center"/>
        <w:rPr>
          <w:b/>
          <w:sz w:val="22"/>
        </w:rPr>
      </w:pPr>
    </w:p>
    <w:p w14:paraId="014D70F7">
      <w:pPr>
        <w:spacing w:after="120"/>
        <w:jc w:val="center"/>
        <w:rPr>
          <w:b/>
          <w:sz w:val="22"/>
        </w:rPr>
      </w:pPr>
    </w:p>
    <w:p w14:paraId="23E9314D">
      <w:pPr>
        <w:spacing w:after="120"/>
        <w:jc w:val="center"/>
        <w:rPr>
          <w:b/>
          <w:sz w:val="22"/>
        </w:rPr>
      </w:pPr>
    </w:p>
    <w:p w14:paraId="5C124B84">
      <w:pPr>
        <w:spacing w:after="120"/>
        <w:jc w:val="center"/>
        <w:rPr>
          <w:b/>
          <w:sz w:val="22"/>
        </w:rPr>
      </w:pPr>
    </w:p>
    <w:p w14:paraId="68A299AA">
      <w:pPr>
        <w:spacing w:after="120"/>
        <w:jc w:val="center"/>
      </w:pPr>
      <w:r>
        <w:rPr>
          <w:b/>
          <w:sz w:val="22"/>
        </w:rPr>
        <w:t>Figure S3. Error map visualization highlighting structural differences in T1-to-T2 translation.</w:t>
      </w:r>
    </w:p>
    <w:p w14:paraId="3369393A">
      <w:pPr>
        <w:spacing w:after="120"/>
        <w:jc w:val="center"/>
      </w:pPr>
      <w:r>
        <w:drawing>
          <wp:inline distT="0" distB="0" distL="0" distR="0">
            <wp:extent cx="5267960" cy="3664585"/>
            <wp:effectExtent l="0" t="0" r="8890" b="12065"/>
            <wp:docPr id="3" name="t1_t2_comb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1_t2_combo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5877">
      <w:pPr>
        <w:spacing w:after="120"/>
        <w:jc w:val="center"/>
      </w:pPr>
      <w:r>
        <w:rPr>
          <w:b/>
          <w:sz w:val="22"/>
        </w:rPr>
        <w:t>Figure S4. Error map visualization highlighting structural differences in PD-to-T2 translation.</w:t>
      </w:r>
    </w:p>
    <w:p w14:paraId="057986B3">
      <w:pPr>
        <w:spacing w:after="120"/>
        <w:jc w:val="center"/>
      </w:pPr>
      <w:r>
        <w:drawing>
          <wp:inline distT="0" distB="0" distL="0" distR="0">
            <wp:extent cx="5319395" cy="3700145"/>
            <wp:effectExtent l="0" t="0" r="14605" b="14605"/>
            <wp:docPr id="4" name="pd_comb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d_combo.jp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2161">
      <w:pPr>
        <w:spacing w:after="120"/>
        <w:jc w:val="center"/>
      </w:pPr>
    </w:p>
    <w:p w14:paraId="3B0793A8">
      <w:pPr>
        <w:spacing w:after="120"/>
        <w:jc w:val="center"/>
      </w:pPr>
      <w:r>
        <w:rPr>
          <w:b/>
          <w:sz w:val="22"/>
        </w:rPr>
        <w:t>Figure S5. Error map visualization highlighting structural differences in CBCT-to-CT translation.</w:t>
      </w:r>
    </w:p>
    <w:p w14:paraId="2AB92698">
      <w:pPr>
        <w:spacing w:after="120"/>
        <w:jc w:val="center"/>
      </w:pPr>
      <w:r>
        <w:drawing>
          <wp:inline distT="0" distB="0" distL="0" distR="0">
            <wp:extent cx="5715000" cy="3975735"/>
            <wp:effectExtent l="0" t="0" r="0" b="5715"/>
            <wp:docPr id="5" name="cbct_comb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bct_combo.jp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7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6133983"/>
    <w:rsid w:val="73960B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100</Words>
  <Characters>708</Characters>
  <TotalTime>0</TotalTime>
  <ScaleCrop>false</ScaleCrop>
  <LinksUpToDate>false</LinksUpToDate>
  <CharactersWithSpaces>800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2026-04-01T15:42:37Z</dcterms:created>
  <dc:creator>DY</dc:creator>
  <cp:lastModifiedBy>代阳</cp:lastModifiedBy>
  <dcterms:modified xsi:type="dcterms:W3CDTF">2026-04-01T15:43:58Z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eyJoZGlkIjoiNDIwY2UwYzExOTIwYjQ5NTBhOWM4YjEyM2RmZTRhNDQiLCJ1c2VySWQiOiIxNjE0NjExOTMyIn0=</vt:lpwstr>
  </property>
  <property fmtid="{D5CDD505-2E9C-101B-9397-08002B2CF9AE}" pid="3" name="KSOProductBuildVer">
    <vt:lpwstr>2052-12.1.0.25225</vt:lpwstr>
  </property>
  <property fmtid="{D5CDD505-2E9C-101B-9397-08002B2CF9AE}" pid="4" name="ICV">
    <vt:lpwstr>6D807844D93D4D04936A2AC2248BA4C2_12</vt:lpwstr>
  </property>
</Properties>
</file>