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定量分析和定性分析</w:t>
      </w:r>
    </w:p>
    <w:p>
      <w:pPr/>
      <w:bookmarkStart w:name="wbwY-1645313612045" w:id="2"/>
      <w:bookmarkEnd w:id="2"/>
      <w:r>
        <w:rPr>
          <w:rFonts w:ascii="Arial" w:hAnsi="Arial" w:cs="Arial" w:eastAsia="Arial"/>
          <w:color w:val="333333"/>
          <w:sz w:val="22"/>
        </w:rPr>
        <w:t>对比分析 → 两个互相联系的指标进行比较</w:t>
      </w:r>
    </w:p>
    <w:p>
      <w:pPr>
        <w:numPr>
          <w:ilvl w:val="0"/>
          <w:numId w:val="1"/>
        </w:numPr>
      </w:pPr>
      <w:bookmarkStart w:name="dlUK-1645313624121" w:id="3"/>
      <w:bookmarkEnd w:id="3"/>
      <w:r>
        <w:rPr/>
        <w:t>绝对数比较（相减） / 相对数比较（相除） </w:t>
      </w:r>
    </w:p>
    <w:p>
      <w:pPr>
        <w:numPr>
          <w:ilvl w:val="0"/>
          <w:numId w:val="1"/>
        </w:numPr>
      </w:pPr>
      <w:bookmarkStart w:name="2ekk-1645313624823" w:id="4"/>
      <w:bookmarkEnd w:id="4"/>
      <w:r>
        <w:rPr/>
        <w:t>结构分析、比例分析、空间比较分析、动态对比分析</w:t>
      </w:r>
    </w:p>
    <w:p>
      <w:pPr/>
      <w:bookmarkStart w:name="BmcQ-1645314472040" w:id="5"/>
      <w:bookmarkEnd w:id="5"/>
      <w:r>
        <w:rPr/>
        <w:t>统计分析</w:t>
      </w:r>
    </w:p>
    <w:p>
      <w:pPr/>
      <w:bookmarkStart w:name="7lj0-1645314486097" w:id="6"/>
      <w:bookmarkEnd w:id="6"/>
      <w:r>
        <w:rPr/>
        <w:t>统计指标对定量数据进行统计描述，常从集中趋势和离中趋势两个方面进行分析</w:t>
      </w:r>
    </w:p>
    <w:p>
      <w:pPr>
        <w:jc w:val="left"/>
      </w:pPr>
      <w:bookmarkStart w:name="HsjO-1645314473040" w:id="7"/>
      <w:bookmarkEnd w:id="7"/>
      <w:r>
        <w:rPr/>
        <w:t>集中趋势度量 / 离中趋势度量</w:t>
      </w:r>
    </w:p>
    <w:p>
      <w:pPr/>
      <w:bookmarkStart w:name="XPlg-1645314727623" w:id="8"/>
      <w:bookmarkEnd w:id="8"/>
      <w:r>
        <w:rPr>
          <w:rFonts w:ascii="Arial" w:hAnsi="Arial" w:cs="Arial" w:eastAsia="Arial"/>
          <w:color w:val="333333"/>
          <w:sz w:val="22"/>
        </w:rPr>
        <w:t>帕累托分析（贡献度分析）</w:t>
      </w:r>
    </w:p>
    <w:p>
      <w:pPr/>
      <w:bookmarkStart w:name="lLQn-1645315103889" w:id="9"/>
      <w:bookmarkEnd w:id="9"/>
      <w:r>
        <w:rPr>
          <w:rFonts w:ascii="Arial" w:hAnsi="Arial" w:cs="Arial" w:eastAsia="Arial"/>
          <w:color w:val="333333"/>
          <w:sz w:val="22"/>
        </w:rPr>
        <w:t>相关性分析：图示初判 / Pearson相关系数（皮尔逊相关系数） / Sperman秩相关系数（斯皮尔曼相关系数）</w:t>
      </w:r>
    </w:p>
    <w:p>
      <w:pPr/>
      <w:bookmarkStart w:name="TLvu-1645316076055" w:id="10"/>
      <w:bookmarkEnd w:id="10"/>
    </w:p>
    <w:p>
      <w:pPr/>
      <w:bookmarkStart w:name="zwNY-1645316076745" w:id="11"/>
      <w:bookmarkEnd w:id="11"/>
      <w:r>
        <w:rPr/>
        <w:t># 缺失值插补# 几种思路：均值/中位数/众数插补、临近值插补、插值法ffill临近</w:t>
      </w:r>
      <w:r>
        <w:rPr>
          <w:sz w:val="22"/>
        </w:rPr>
        <w:t>值插补,前值插值</w:t>
      </w:r>
      <w:r>
        <w:rPr/>
        <w:t>法 —— 拉格朗日插值法print(lagrange(x,y))</w:t>
      </w:r>
    </w:p>
    <w:p>
      <w:pPr/>
      <w:bookmarkStart w:name="SNvI-1645316076751" w:id="12"/>
      <w:bookmarkEnd w:id="12"/>
    </w:p>
    <w:p>
      <w:pPr/>
      <w:bookmarkStart w:name="7U7A-1645316334928" w:id="13"/>
      <w:bookmarkEnd w:id="13"/>
      <w:r>
        <w:rPr/>
        <w:t xml:space="preserve"> 异常值分析（1）3σ原则：如果数据服从正态分布，异常值被定义为一组测定值中与平均值的偏差超过3倍的值 → p(|x - μ| &gt; 3σ) ≤ 0.003数据标准化（1）0-1标准化将数据的最大最小值记录下来，并通过Max-Min作为基数（即Min=0，Max=1）进行数据的归一化处理 x = (x - Min) / (Max - Min) （2）Z-s</w:t>
      </w:r>
      <w:r>
        <w:rPr>
          <w:sz w:val="22"/>
        </w:rPr>
        <w:t>core标准化 Z分数（z</w:t>
      </w:r>
      <w:r>
        <w:rPr/>
        <w:t>-</w:t>
      </w:r>
      <w:r>
        <w:rPr>
          <w:sz w:val="22"/>
        </w:rPr>
        <w:t>score）,是一个分数与平均数的差再除以标准差的过程 → z=(x-μ)/σ，其中x为某一具体分数，μ为平均数，σ为标准差 Z值的量代表</w:t>
      </w:r>
      <w:r>
        <w:rPr/>
        <w:t>着</w:t>
      </w:r>
      <w:r>
        <w:rPr>
          <w:sz w:val="22"/>
        </w:rPr>
        <w:t>原始分数和母体平均值之间的距离，是以标准差为单位计算。在原始分数低于平均值时Z则为负数，反之则为正数 数据连续属性离</w:t>
      </w:r>
      <w:r>
        <w:rPr/>
        <w:t>散化</w:t>
      </w:r>
      <w:r>
        <w:rPr>
          <w:sz w:val="22"/>
        </w:rPr>
        <w:t xml:space="preserve"> 等宽法 → 将数</w:t>
      </w:r>
      <w:r>
        <w:rPr/>
        <w:t>据均</w:t>
      </w:r>
      <w:r>
        <w:rPr>
          <w:sz w:val="22"/>
        </w:rPr>
        <w:t>匀划分成n等份，每份的间距相等； cut方法 bins = [1</w:t>
      </w:r>
      <w:r>
        <w:rPr/>
        <w:t>8,</w:t>
      </w:r>
      <w:r>
        <w:rPr>
          <w:sz w:val="22"/>
        </w:rPr>
        <w:t>25,35,60,100]cats = pd.c</w:t>
      </w:r>
      <w:r>
        <w:rPr/>
        <w:t>u</w:t>
      </w:r>
      <w:r>
        <w:rPr>
          <w:sz w:val="22"/>
        </w:rPr>
        <w:t>t(ages,bins)print(cats)等</w:t>
      </w:r>
      <w:r>
        <w:rPr/>
        <w:t>频</w:t>
      </w:r>
      <w:r>
        <w:rPr>
          <w:sz w:val="22"/>
        </w:rPr>
        <w:t>法 → 以相同数量的记</w:t>
      </w:r>
      <w:r>
        <w:rPr/>
        <w:t>录放进每个区间； qcut方法</w:t>
      </w:r>
    </w:p>
    <w:p>
      <w:pPr>
        <w:pStyle w:val="2"/>
        <w:spacing w:line="240" w:lineRule="auto" w:before="0" w:after="0"/>
      </w:pPr>
      <w:bookmarkStart w:name="Uyhr-1645316334930" w:id="14"/>
      <w:bookmarkEnd w:id="14"/>
      <w:r>
        <w:rPr>
          <w:rFonts w:ascii="微软雅黑" w:hAnsi="微软雅黑" w:cs="微软雅黑" w:eastAsia="微软雅黑"/>
          <w:b w:val="true"/>
          <w:color w:val="F33232"/>
          <w:sz w:val="30"/>
        </w:rPr>
        <w:t>因子分析(factor analysis)</w:t>
      </w:r>
    </w:p>
    <w:p>
      <w:pPr>
        <w:jc w:val="left"/>
      </w:pPr>
      <w:bookmarkStart w:name="P02e-1645317138829" w:id="15"/>
      <w:bookmarkEnd w:id="15"/>
      <w:r>
        <w:rPr/>
        <w:t>是指研究从变量群中提取共性因子的统计技术。 因子分析是简化、分析高维数据的一种统计方法。</w:t>
      </w:r>
    </w:p>
    <w:p>
      <w:pPr>
        <w:jc w:val="left"/>
      </w:pPr>
      <w:bookmarkStart w:name="T7F9-1645317138829" w:id="16"/>
      <w:bookmarkEnd w:id="16"/>
      <w:r>
        <w:rPr/>
        <w:t>因子分析又存在两个方向，一个是探索性因子分析（exploratory factor analysis）。另一个是验证性因子分析（confirmatory factor analysis）。</w:t>
      </w:r>
    </w:p>
    <w:p>
      <w:pPr>
        <w:jc w:val="left"/>
      </w:pPr>
      <w:bookmarkStart w:name="ALB5-1645317138829" w:id="17"/>
      <w:bookmarkEnd w:id="17"/>
      <w:r>
        <w:rPr>
          <w:b w:val="true"/>
        </w:rPr>
        <w:t>探索性因子分析</w:t>
      </w:r>
      <w:r>
        <w:rPr/>
        <w:t>是先不假定一堆自变量背后到底有几个因子以及关系，而是我们通过这个方法去寻找因子及关系。</w:t>
      </w:r>
    </w:p>
    <w:p>
      <w:pPr>
        <w:jc w:val="left"/>
      </w:pPr>
      <w:bookmarkStart w:name="hTgB-1645317138829" w:id="18"/>
      <w:bookmarkEnd w:id="18"/>
      <w:r>
        <w:rPr>
          <w:b w:val="true"/>
        </w:rPr>
        <w:t>验证性因子分析</w:t>
      </w:r>
      <w:r>
        <w:rPr/>
        <w:t>是假设一堆自变量背后有几个因子，试图验证这种假设是否正确。</w:t>
      </w:r>
    </w:p>
    <w:p>
      <w:pPr>
        <w:jc w:val="left"/>
      </w:pPr>
      <w:bookmarkStart w:name="ZVYo-1645317138829" w:id="19"/>
      <w:bookmarkEnd w:id="19"/>
      <w:r>
        <w:rPr/>
        <w:t>因子分析有两个核心问题，一是如何构造因子变量，二是如何对因子变量进行命名解释。</w:t>
      </w:r>
    </w:p>
    <w:p>
      <w:pPr>
        <w:pStyle w:val="2"/>
        <w:spacing w:line="240" w:lineRule="auto" w:before="0" w:after="0"/>
      </w:pPr>
      <w:bookmarkStart w:name="Hv2A-1645323814954" w:id="20"/>
      <w:bookmarkEnd w:id="20"/>
      <w:r>
        <w:rPr>
          <w:rFonts w:ascii="微软雅黑" w:hAnsi="微软雅黑" w:cs="微软雅黑" w:eastAsia="微软雅黑"/>
          <w:b w:val="true"/>
          <w:sz w:val="30"/>
        </w:rPr>
        <w:t>因子分析的一般步骤</w:t>
      </w:r>
    </w:p>
    <w:p>
      <w:pPr>
        <w:numPr>
          <w:ilvl w:val="0"/>
          <w:numId w:val="2"/>
        </w:numPr>
      </w:pPr>
      <w:bookmarkStart w:name="DfX3-1645323816359" w:id="21"/>
      <w:bookmarkEnd w:id="21"/>
      <w:r>
        <w:rPr/>
        <w:t>将原始数据标准化处理 X</w:t>
      </w:r>
    </w:p>
    <w:p>
      <w:pPr>
        <w:numPr>
          <w:ilvl w:val="0"/>
          <w:numId w:val="2"/>
        </w:numPr>
      </w:pPr>
      <w:bookmarkStart w:name="sOYq-1645323816359" w:id="22"/>
      <w:bookmarkEnd w:id="22"/>
      <w:r>
        <w:rPr/>
        <w:t>计算相关矩阵C</w:t>
      </w:r>
    </w:p>
    <w:p>
      <w:pPr>
        <w:numPr>
          <w:ilvl w:val="0"/>
          <w:numId w:val="2"/>
        </w:numPr>
      </w:pPr>
      <w:bookmarkStart w:name="OOi9-1645323816359" w:id="23"/>
      <w:bookmarkEnd w:id="23"/>
      <w:r>
        <w:rPr/>
        <w:t>计算相关矩阵C的特征值 r 和特征向量 U</w:t>
      </w:r>
    </w:p>
    <w:p>
      <w:pPr>
        <w:numPr>
          <w:ilvl w:val="0"/>
          <w:numId w:val="2"/>
        </w:numPr>
      </w:pPr>
      <w:bookmarkStart w:name="DWpN-1645323816359" w:id="24"/>
      <w:bookmarkEnd w:id="24"/>
      <w:r>
        <w:rPr/>
        <w:t>确定公共因子个数k</w:t>
      </w:r>
    </w:p>
    <w:p>
      <w:pPr>
        <w:numPr>
          <w:ilvl w:val="0"/>
          <w:numId w:val="2"/>
        </w:numPr>
      </w:pPr>
      <w:bookmarkStart w:name="Rbkj-1645323816359" w:id="25"/>
      <w:bookmarkEnd w:id="25"/>
      <w:r>
        <w:rPr/>
        <w:t>构造初始因子载荷矩阵,其中U为r的特征向量</w:t>
      </w:r>
    </w:p>
    <w:p>
      <w:pPr>
        <w:numPr>
          <w:ilvl w:val="0"/>
          <w:numId w:val="2"/>
        </w:numPr>
      </w:pPr>
      <w:bookmarkStart w:name="14QJ-1645323816359" w:id="26"/>
      <w:bookmarkEnd w:id="26"/>
      <w:r>
        <w:rPr/>
        <w:t>建立因子模型</w:t>
      </w:r>
    </w:p>
    <w:p>
      <w:pPr>
        <w:numPr>
          <w:ilvl w:val="0"/>
          <w:numId w:val="2"/>
        </w:numPr>
      </w:pPr>
      <w:bookmarkStart w:name="CKpy-1645323816359" w:id="27"/>
      <w:bookmarkEnd w:id="27"/>
      <w:r>
        <w:rPr/>
        <w:t>对初始因子载荷矩阵A进行旋转变换，旋转变换是使初始因子载荷矩阵结构简化，关系明确，使得因子变量更具有可解释性，如果初始因子不相关，可以用方差极大正交旋转，如果初始因子间相关，可以用斜交旋转，进过旋转后得到比较理想的新的因子载荷矩阵A'.</w:t>
      </w:r>
    </w:p>
    <w:p>
      <w:pPr>
        <w:numPr>
          <w:ilvl w:val="0"/>
          <w:numId w:val="2"/>
        </w:numPr>
      </w:pPr>
      <w:bookmarkStart w:name="U9OK-1645323816359" w:id="28"/>
      <w:bookmarkEnd w:id="28"/>
      <w:r>
        <w:rPr/>
        <w:t>将因子表示成变量的线性组合，其中的系数可以通过最小二乘法得到.</w:t>
      </w:r>
    </w:p>
    <w:p>
      <w:pPr>
        <w:numPr>
          <w:ilvl w:val="0"/>
          <w:numId w:val="2"/>
        </w:numPr>
      </w:pPr>
      <w:bookmarkStart w:name="Ghaq-1645323816359" w:id="29"/>
      <w:bookmarkEnd w:id="29"/>
      <w:r>
        <w:rPr/>
        <w:t>计算因子得分</w:t>
      </w:r>
    </w:p>
    <w:p>
      <w:pPr/>
      <w:bookmarkStart w:name="MtvJ-1645324430579" w:id="30"/>
      <w:bookmarkEnd w:id="30"/>
    </w:p>
    <w:p>
      <w:pPr/>
      <w:bookmarkStart w:name="HQh4-1645324432304" w:id="31"/>
      <w:bookmarkEnd w:id="31"/>
      <w:r>
        <w:rPr/>
        <w:t>eig_value,eig_vector=nlg.eig(C) #计算特征值和特征向量eig=pd.DataFrame() #利用变量名和特征值建立一个数据框eig['names']=data.columns#列名eig['eig_value']=eig_value#特征值if eig['eig_value'][:k].sum()/eig['eig_value'].sum()&gt;=0.8: #如果解释度达到80%解释度：建模h=np.zeros(10) #变量共同度，反映变量对共同因子的依赖程度，越接近1，说明公共因子解释程度越高，因子分析效果越好D=np.mat(np.eye(10))#特殊因子方差，因子的方差贡献度 ，反映公共因子对变量的贡献，衡量公共因子的相对重要性A=np.mat(A) #将因子载荷阵A矩阵化</w:t>
      </w:r>
    </w:p>
    <w:p>
      <w:pPr>
        <w:numPr>
          <w:ilvl w:val="0"/>
          <w:numId w:val="3"/>
        </w:numPr>
      </w:pPr>
      <w:bookmarkStart w:name="xmQV-1645324432307" w:id="32"/>
      <w:bookmarkEnd w:id="32"/>
      <w:r>
        <w:rPr/>
        <w:t>过拟合(overfitting)：创建的模型与训练数据过于匹配，以致于模型无法根据新数据做出正确的预测。 </w:t>
      </w:r>
    </w:p>
    <w:p>
      <w:pPr>
        <w:numPr>
          <w:ilvl w:val="0"/>
          <w:numId w:val="3"/>
        </w:numPr>
      </w:pPr>
      <w:bookmarkStart w:name="rA5d-1645328167496" w:id="33"/>
      <w:bookmarkEnd w:id="33"/>
      <w:r>
        <w:rPr/>
        <w:t>欠拟合(underfitting)：创建的模型与训练数据匹配度较差。 </w:t>
      </w:r>
    </w:p>
    <w:p>
      <w:pPr>
        <w:numPr>
          <w:ilvl w:val="0"/>
          <w:numId w:val="3"/>
        </w:numPr>
      </w:pPr>
      <w:bookmarkStart w:name="bozb-1645328167496" w:id="34"/>
      <w:bookmarkEnd w:id="34"/>
      <w:r>
        <w:rPr/>
        <w:t>K值较小，则模型复杂度较高，容易发生过拟合，学习的估计误差会增大，预测结果对近邻的实例点非常敏感。 </w:t>
      </w:r>
    </w:p>
    <w:p>
      <w:pPr>
        <w:numPr>
          <w:ilvl w:val="0"/>
          <w:numId w:val="3"/>
        </w:numPr>
      </w:pPr>
      <w:bookmarkStart w:name="nV4F-1645328167496" w:id="35"/>
      <w:bookmarkEnd w:id="35"/>
      <w:r>
        <w:rPr/>
        <w:t>K值较大，则模型复杂度较低，可以减少学习的估计误差，但是学习的近似误差会增大，与输入实例较远的训练实例也会对预测起作用，使预测发生错误。</w:t>
      </w:r>
    </w:p>
    <w:p>
      <w:pPr/>
      <w:bookmarkStart w:name="7Axy-1645338191091" w:id="36"/>
      <w:bookmarkEnd w:id="36"/>
    </w:p>
    <w:p>
      <w:pPr/>
      <w:bookmarkStart w:name="y1zE-1645338193609" w:id="37"/>
      <w:bookmarkEnd w:id="37"/>
    </w:p>
    <w:p>
      <w:pPr/>
      <w:bookmarkStart w:name="8mBK-1645338206519" w:id="38"/>
      <w:bookmarkEnd w:id="38"/>
    </w:p>
    <w:p>
      <w:pPr/>
      <w:bookmarkStart w:name="dZSu-1645338199525" w:id="39"/>
      <w:bookmarkEnd w:id="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2022-02-20T07:14:56Z</dcterms:created>
  <dc:creator>Apache POI</dc:creator>
</cp:coreProperties>
</file>