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Which British-era Act, for the first time after the centralising Charter Act of 1833, restored legislative powers to the Bombay and Madras Presidencies?</w:t>
        <w:br/>
        <w:t>(1) Indian Councils Act, 1892</w:t>
        <w:br/>
        <w:t>(2) Government of India Act, 1919</w:t>
        <w:br/>
        <w:t>(3) Indian Councils Act, 1861</w:t>
        <w:br/>
        <w:t>(4) Charter Act, 1833</w:t>
        <w:br/>
        <w:t>Answer Key:  3</w:t>
        <w:br/>
        <w:t>Solution:</w:t>
        <w:br/>
        <w:t>Indian Councils Act, 1861 restored the legislative powers of the Bombay and Madras Presidencies that had been taken away by the Charter Act of 1833. It is therefore treated as the beginning of legislative decentralisation in British India, and it also enlarged the Governor-General's Council for legislative purposes.</w:t>
        <w:br/>
        <w:t>- Charter Act, 1833 centralized legislative authority and reduced the independent legislative role of the presidencies.</w:t>
        <w:br/>
        <w:t>- Indian Councils Act, 1892 enlarged legislative councils and permitted discussion of the budget, but it was not the first act to restore provincial legislative powers.</w:t>
        <w:br/>
        <w:t>- Government of India Act, 1919 introduced dyarchy in the provinces and bicameralism at the Centre, which were later constitutional developments.</w:t>
        <w:br/>
        <w:t>Further Insights:</w:t>
        <w:br/>
        <w:t>- The Indian Councils Act, 1861 is associated with the beginning of the policy of legislative decentralisation in British India.</w:t>
        <w:br/>
        <w:t>- It empowered the Viceroy to issue ordinances in emergencies for a limited period.</w:t>
        <w:br/>
        <w:t>- The Act allowed Indians to be nominated to legislative councils, an important early step in limited representation.</w:t>
        <w:br/>
        <w:t>- The Indian Councils Act, 1909 is remembered for introducing separate electorates for Muslims.</w:t>
        <w:br/>
        <w:t>- The Government of India Act, 1935 introduced provincial autonomy and proposed an all-India federation.</w:t>
        <w:br/>
        <w:br/>
        <w:br/>
        <w:t>2. Who wrote the series of political articles titled New Lamps for Old in the newspaper Indu Prakash in 1893-94?</w:t>
        <w:br/>
        <w:t>(1) Gopal Krishna Gokhale</w:t>
        <w:br/>
        <w:t>(2) Bipin Chandra Pal</w:t>
        <w:br/>
        <w:t>(3) Bal Gangadhar Tilak</w:t>
        <w:br/>
        <w:t>(4) Aurobindo Ghosh</w:t>
        <w:br/>
        <w:t>Answer Key:  4</w:t>
        <w:br/>
        <w:t>Solution:</w:t>
        <w:br/>
        <w:t>Aurobindo Ghosh is correct. He wrote the series "New Lamps for Old" for the Bombay newspaper Indu Prakash in 1893-94. These articles sharply criticised the moderate leadership and methods of the early Indian National Congress.</w:t>
        <w:br/>
        <w:t>- Gopal Krishna Gokhale was a leading moderate nationalist and founder of the Servants of India Society, but he did not write this series.</w:t>
        <w:br/>
        <w:t>- Bal Gangadhar Tilak was associated with the newspapers Kesari and Mahratta, not with New Lamps for Old.</w:t>
        <w:br/>
        <w:t>- Bipin Chandra Pal was linked with nationalist journalism such as New India, but this article series was not authored by him.</w:t>
        <w:br/>
        <w:t>Further Insights:</w:t>
        <w:br/>
        <w:t>- Indu Prakash was published from Bombay and was part of late-19th-century political and social debate.</w:t>
        <w:br/>
        <w:t>- New Lamps for Old is often seen as an early statement of Aurobindo's critique of Congress moderation.</w:t>
        <w:br/>
        <w:t>- Aurobindo Ghosh later became associated with the nationalist newspaper Bande Mataram.</w:t>
        <w:br/>
        <w:t>- Newspapers and journals were major tools of political awakening in modern Indian history.</w:t>
        <w:br/>
        <w:br/>
        <w:br/>
        <w:t>3. Match List-I with List-II and choose the correct code.</w:t>
        <w:br/>
        <w:br/>
        <w:t>List-I (Vitamin)</w:t>
        <w:br/>
        <w:t>A. Vitamin B1</w:t>
        <w:br/>
        <w:t>B. Vitamin D</w:t>
        <w:br/>
        <w:t>C. Vitamin C</w:t>
        <w:br/>
        <w:t>D. Vitamin B3</w:t>
        <w:br/>
        <w:br/>
        <w:t>List-II (Deficiency disease)</w:t>
        <w:br/>
        <w:t>1. Pellagra</w:t>
        <w:br/>
        <w:t>2. Beriberi</w:t>
        <w:br/>
        <w:t>3. Scurvy</w:t>
        <w:br/>
        <w:t>4. Rickets</w:t>
        <w:br/>
        <w:t>(1) A-2, B-4, C-3, D-1</w:t>
        <w:br/>
        <w:t>(2) A-1, B-4, C-2, D-3</w:t>
        <w:br/>
        <w:t>(3) A-4, B-2, C-3, D-1</w:t>
        <w:br/>
        <w:t>(4) A-2, B-3, C-4, D-1</w:t>
        <w:br/>
        <w:t>Answer Key:  1</w:t>
        <w:br/>
        <w:t>Solution:</w:t>
        <w:br/>
        <w:t>Option 1 is correct. Deficiency of Vitamin B1 causes beriberi, deficiency of Vitamin D causes rickets, and deficiency of Vitamin C causes scurvy. Vitamin B3 deficiency leads to pellagra, so the correct matching is A-2, B-4, C-3, D-1.</w:t>
        <w:br/>
        <w:br/>
        <w:t>- Option 2 is incorrect because rickets is linked to Vitamin D deficiency, not Vitamin B1 deficiency.</w:t>
        <w:br/>
        <w:t>- Option 3 is incorrect because scurvy is caused by Vitamin C deficiency, whereas rickets is caused by Vitamin D deficiency.</w:t>
        <w:br/>
        <w:t>- Option 4 is incorrect because pellagra is caused by deficiency of Vitamin B3, while beriberi is caused by deficiency of Vitamin B1.</w:t>
        <w:br/>
        <w:br/>
        <w:t>Further Insights:</w:t>
        <w:br/>
        <w:t>- Vitamin B1 is also known as thiamine.</w:t>
        <w:br/>
        <w:t>- Vitamin B3 is also known as niacin.</w:t>
        <w:br/>
        <w:t>- Scurvy commonly causes bleeding gums and poor wound healing.</w:t>
        <w:br/>
        <w:t>- Rickets mainly affects children and causes soft, weak bones.</w:t>
        <w:br/>
        <w:t>- Pellagra is classically associated with dermatitis, diarrhea and dementia.</w:t>
        <w:br/>
        <w:br/>
        <w:br/>
        <w:t>4. Which woman nationalist is especially remembered for entering the Bombay Stock Exchange to sell packets of illegal salt during the Civil Disobedience Movement?</w:t>
        <w:br/>
        <w:t>(1) Sarojini Naidu</w:t>
        <w:br/>
        <w:t>(2) Basanti Devi</w:t>
        <w:br/>
        <w:t>(3) Aruna Asaf Ali</w:t>
        <w:br/>
        <w:t>(4) Kamaladevi Chattopadhyay</w:t>
        <w:br/>
        <w:t>Answer Key:  4</w:t>
        <w:br/>
        <w:t>Solution:</w:t>
        <w:br/>
        <w:t>Kamaladevi Chattopadhyay is the correct answer. During the Civil Disobedience Movement, she was among the earliest women to break the salt laws and became especially noted for selling packets of illegal salt in Bombay, including at the Bombay Stock Exchange. Her action symbolized the widening of direct mass participation, especially by women, in Gandhian civil resistance.</w:t>
        <w:br/>
        <w:br/>
        <w:t>- Sarojini Naidu: She is chiefly remembered for leading satyagrahis at Dharasana Salt Works after Gandhi’s arrest in 1930.</w:t>
        <w:br/>
        <w:t>- Aruna Asaf Ali: She is mainly associated with the Quit India Movement of 1942 and the flag-hoisting at Gowalia Tank.</w:t>
        <w:br/>
        <w:t>- Basanti Devi: She was a prominent nationalist in Bengal and is more closely linked with the Non-Cooperation phase and the legacy of C.R. Das.</w:t>
        <w:br/>
        <w:br/>
        <w:t>Further Insights:</w:t>
        <w:br/>
        <w:t>- The Salt March began on 12 March 1930 from Sabarmati Ashram and reached Dandi on 6 April 1930.</w:t>
        <w:br/>
        <w:t>- The Civil Disobedience Movement began with the open violation of the salt law, making salt a mass political symbol.</w:t>
        <w:br/>
        <w:t>- The Gandhi-Irwin Pact was signed in March 1931 and led to a temporary suspension of the movement.</w:t>
        <w:br/>
        <w:t>- The Karachi Session of the Indian National Congress in 1931 endorsed the Gandhi-Irwin Pact and adopted the Resolution on Fundamental Rights.</w:t>
        <w:br/>
        <w:t>- Khan Abdul Ghaffar Khan and the Khudai Khidmatgar played an important role in spreading Civil Disobedience in the North-West Frontier Province.</w:t>
        <w:br/>
        <w:br/>
        <w:br/>
        <w:t>5. A woman with blood group A (IAi) marries a man with blood group AB. What percentage of their children can have blood group B?</w:t>
        <w:br/>
        <w:t>(1) 0%</w:t>
        <w:br/>
        <w:t>(2) 75%</w:t>
        <w:br/>
        <w:t>(3) 50%</w:t>
        <w:br/>
        <w:t>(4) 25%</w:t>
        <w:br/>
        <w:t>Answer Key:  4</w:t>
        <w:br/>
        <w:t>Solution:</w:t>
        <w:br/>
        <w:t>Mother genotype = IAi</w:t>
        <w:br/>
        <w:t>Father genotype = IAIB</w:t>
        <w:br/>
        <w:br/>
        <w:t>Possible gametes from mother: IA, i</w:t>
        <w:br/>
        <w:t>Possible gametes from father: IA, IB</w:t>
        <w:br/>
        <w:br/>
        <w:t>Possible children:</w:t>
        <w:br/>
        <w:t>IA × IA = IAIA = blood group A</w:t>
        <w:br/>
        <w:t>IA × IB = IAIB = blood group AB</w:t>
        <w:br/>
        <w:t>i × IA = IAi = blood group A</w:t>
        <w:br/>
        <w:t>i × IB = IBi = blood group B</w:t>
        <w:br/>
        <w:br/>
        <w:t>Blood group B appears in 1 out of 4 cases.</w:t>
        <w:br/>
        <w:t>Probability = 1/4 = 25%</w:t>
        <w:br/>
        <w:br/>
        <w:t>The correct option is 25%. In the ABO blood group system, IA and IB are codominant, while i is recessive. A cross between IAi and IAIB produces four equally likely genotypes, and only IBi expresses blood group B.</w:t>
        <w:br/>
        <w:br/>
        <w:t>- 0%: An AB parent can pass the IB allele, so blood group B is possible in this cross.</w:t>
        <w:br/>
        <w:t>- 50%: Two of the four offspring are not blood group B; only one genotype gives B.</w:t>
        <w:br/>
        <w:t>- 75%: Most outcomes here are A or AB, so 75% clearly overestimates the chance of B.</w:t>
        <w:br/>
        <w:br/>
        <w:t>Further Insights:</w:t>
        <w:br/>
        <w:t>- ABO blood groups are determined by three alleles: IA, IB, and i.</w:t>
        <w:br/>
        <w:t>- IA and IB are codominant, so IAIB produces blood group AB.</w:t>
        <w:br/>
        <w:t>- Blood group O appears only when the genotype is ii.</w:t>
        <w:br/>
        <w:t>- A person with blood group A may have genotype IAIA or IAi.</w:t>
        <w:br/>
        <w:t>- A person with blood group B may have genotype IBIB or IBi.</w:t>
        <w:br/>
        <w:br/>
        <w:br/>
        <w:t>6. Consider the following statements regarding greenhouse effect and climate change basics:</w:t>
        <w:br/>
        <w:t>I. Water vapour is the most abundant greenhouse gas, but in climate change assessment it is mainly treated as a feedback, not the principal long-lived anthropogenic forcing.</w:t>
        <w:br/>
        <w:t>II. Stratospheric ozone warms that layer by absorbing ultraviolet radiation, while tropospheric ozone acts as a greenhouse gas and air pollutant.</w:t>
        <w:br/>
        <w:t>III. The enhanced greenhouse effect means carbon dioxide directly traps most incoming solar shortwave radiation before it reaches the ground.</w:t>
        <w:br/>
        <w:t>IV. Methane's global warming potential is defined relative to carbon dioxide over a specified time horizon.</w:t>
        <w:br/>
        <w:t>Which of the statements given above are correct?</w:t>
        <w:br/>
        <w:t>(1) I, II and IV only</w:t>
        <w:br/>
        <w:t>(2) I, II, III and IV</w:t>
        <w:br/>
        <w:t>(3) II, III and IV only</w:t>
        <w:br/>
        <w:t>(4) I and III only</w:t>
        <w:br/>
        <w:t>Answer Key:  1</w:t>
        <w:br/>
        <w:t>Solution:</w:t>
        <w:br/>
        <w:t>Option 3 (I, II and IV only) is correct. Water vapour is the most abundant greenhouse gas, but in climate science it is mainly treated as a feedback, whereas carbon dioxide is the principal long-lived anthropogenic forcing. Stratospheric ozone absorbs ultraviolet radiation and warms the stratosphere, while tropospheric ozone is both a greenhouse gas and an air pollutant; methane's global warming potential is defined relative to carbon dioxide over a chosen time horizon. Statement III is incorrect because the enhanced greenhouse effect mainly involves absorption and re-emission of outgoing terrestrial longwave radiation, not direct trapping of most incoming solar shortwave radiation by carbon dioxide.</w:t>
        <w:br/>
        <w:t>- Option 1 (I and III only) is incorrect because Statement II is also correct, while Statement III is false.</w:t>
        <w:br/>
        <w:t>- Option 2 (II, III and IV only) is incorrect because Statement I is correct, but Statement III is false.</w:t>
        <w:br/>
        <w:t>- Option 4 (I, II, III and IV) is incorrect because Statement III is not correct.</w:t>
        <w:br/>
        <w:t>Further Insights:</w:t>
        <w:br/>
        <w:t>- The natural greenhouse effect keeps Earth's average surface temperature much higher than it would be without greenhouse gases.</w:t>
        <w:br/>
        <w:t>- Carbon dioxide, methane, nitrous oxide, water vapour and ozone are greenhouse gases, whereas nitrogen and oxygen are not major greenhouse gases.</w:t>
        <w:br/>
        <w:t>- Methane's warming effect is stronger over shorter time horizons, which is why its GWP depends on the chosen period such as 20 or 100 years.</w:t>
        <w:br/>
        <w:t>- Ozone depletion and global warming are distinct issues, although both involve atmospheric chemistry and climate processes.</w:t>
        <w:br/>
        <w:br/>
        <w:br/>
        <w:t>7. In the table below, each row links an endocrine structure with a hormone and a diabetic disorder. Which rows are correctly matched?</w:t>
        <w:br/>
        <w:t>1. Beta cells of islets of Langerhans - insulin - type 1 diabetes mellitus</w:t>
        <w:br/>
        <w:t>2. Posterior pituitary - release of vasopressin (ADH) - central diabetes insipidus when deficient</w:t>
        <w:br/>
        <w:t>3. Anterior pituitary - vasopressin (ADH) - diabetes insipidus</w:t>
        <w:br/>
        <w:t>4. Alpha cells of islets of Langerhans - glucagon - classical primary deficiency causing diabetes mellitus</w:t>
        <w:br/>
        <w:t>5. Hypothalamic supraoptic/paraventricular nuclei - synthesis of vasopressin - impairment may produce central diabetes insipidus</w:t>
        <w:br/>
        <w:t>(1) 1, 3, 4 and 5 only</w:t>
        <w:br/>
        <w:t>(2) 1, 2 and 4 only</w:t>
        <w:br/>
        <w:t>(3) 2, 3 and 5 only</w:t>
        <w:br/>
        <w:t>(4) 1, 2 and 5 only</w:t>
        <w:br/>
        <w:t>Answer Key:  4</w:t>
        <w:br/>
        <w:t>Solution:</w:t>
        <w:br/>
        <w:t>1, 2 and 5 only is the correct set. Type 1 diabetes mellitus is classically due to autoimmune destruction of pancreatic beta cells, causing insulin deficiency. Central diabetes insipidus results from deficient vasopressin; this hormone is synthesized mainly in the supraoptic and paraventricular nuclei of the hypothalamus and released from the posterior pituitary.</w:t>
        <w:br/>
        <w:t>- 1, 2 and 4 only: Incorrect because row 4 is wrong; diabetes mellitus is not classically caused by primary glucagon deficiency of alpha cells.</w:t>
        <w:br/>
        <w:t>- 2, 3 and 5 only: Incorrect because row 3 is wrong; vasopressin is not an anterior pituitary hormone.</w:t>
        <w:br/>
        <w:t>- 1, 3, 4 and 5 only: Incorrect because both rows 3 and 4 are wrongly matched.</w:t>
        <w:br/>
        <w:t>Further Insights:</w:t>
        <w:br/>
        <w:t>- Diabetes mellitus commonly presents with persistent hyperglycaemia and may show glycosuria.</w:t>
        <w:br/>
        <w:t>- Diabetes insipidus causes polyuria with very dilute urine and usually no glycosuria.</w:t>
        <w:br/>
        <w:t>- ADH acts mainly on the kidney collecting ducts to increase water reabsorption.</w:t>
        <w:br/>
        <w:t>- Nephrogenic diabetes insipidus occurs when the kidneys do not respond properly to ADH.</w:t>
        <w:br/>
        <w:t>- The posterior pituitary stores and releases ADH, but the hormone is synthesized in the hypothalamus.</w:t>
        <w:br/>
        <w:br/>
        <w:br/>
        <w:t>8. Match List-I with List-II and choose the correct code.</w:t>
        <w:br/>
        <w:br/>
        <w:t>List-I (Disease)</w:t>
        <w:br/>
        <w:t>a. Typhoid</w:t>
        <w:br/>
        <w:t>b. Measles</w:t>
        <w:br/>
        <w:t>c. Ringworm</w:t>
        <w:br/>
        <w:t>d. Amoebiasis</w:t>
        <w:br/>
        <w:br/>
        <w:t>List-II (Causative organism)</w:t>
        <w:br/>
        <w:t>1. Trichophyton</w:t>
        <w:br/>
        <w:t>2. Entamoeba histolytica</w:t>
        <w:br/>
        <w:t>3. Salmonella typhi</w:t>
        <w:br/>
        <w:t>4. Measles virus</w:t>
        <w:br/>
        <w:t>(1) a-3, b-4, c-2, d-1</w:t>
        <w:br/>
        <w:t>(2) a-4, b-3, c-1, d-2</w:t>
        <w:br/>
        <w:t>(3) a-3, b-1, c-4, d-2</w:t>
        <w:br/>
        <w:t>(4) a-3, b-4, c-1, d-2</w:t>
        <w:br/>
        <w:t>Answer Key:  4</w:t>
        <w:br/>
        <w:t>Solution:</w:t>
        <w:br/>
        <w:t>Option 3 is correct. Typhoid is caused by Salmonella typhi, measles by the measles virus, ringworm by fungi such as Trichophyton, and amoebiasis by the protozoan Entamoeba histolytica. These are standard textbook examples used to classify diseases by bacterial, viral, fungal, and protozoan pathogens.</w:t>
        <w:br/>
        <w:br/>
        <w:t>- Option 1 is incorrect because ringworm is caused by a fungus such as Trichophyton, not by Entamoeba histolytica.</w:t>
        <w:br/>
        <w:t>- Option 2 is incorrect because typhoid is a bacterial disease caused by Salmonella typhi, whereas measles is caused by a virus.</w:t>
        <w:br/>
        <w:t>- Option 4 is incorrect because measles is not caused by Trichophyton; Trichophyton is associated with ringworm.</w:t>
        <w:br/>
        <w:br/>
        <w:t>Further Insights:</w:t>
        <w:br/>
        <w:t>- Ringworm is not caused by a worm; it is a fungal skin infection.</w:t>
        <w:br/>
        <w:t>- Amoebiasis commonly spreads through contaminated food or water.</w:t>
        <w:br/>
        <w:t>- Typhoid spreads mainly through contaminated food and water through the fecal-oral route.</w:t>
        <w:br/>
        <w:t>- Measles is a highly contagious viral disease preventable by vaccination.</w:t>
        <w:br/>
        <w:br/>
        <w:br/>
        <w:t>9. Which device is used to detect ionizing radiation in medicine and industry?</w:t>
        <w:br/>
        <w:t>(1) Electrocardiograph</w:t>
        <w:br/>
        <w:t>(2) Ultrasonography unit</w:t>
        <w:br/>
        <w:t>(3) MRI scanner</w:t>
        <w:br/>
        <w:t>(4) Geiger-Muller counter</w:t>
        <w:br/>
        <w:t>Answer Key:  4</w:t>
        <w:br/>
        <w:t>Solution:</w:t>
        <w:br/>
        <w:t>Geiger-Muller counter is the correct answer. It is a standard instrument used to detect ionizing radiation and is widely used for radiation monitoring in hospitals, laboratories, and industries. Its Geiger-Muller tube produces electrical pulses when radiation passes through it, allowing the radiation to be counted.</w:t>
        <w:br/>
        <w:br/>
        <w:t>- MRI scanner uses magnetic fields and radio waves to create images of internal body structures.</w:t>
        <w:br/>
        <w:t>- Electrocardiograph is used to record the electrical activity of the heart.</w:t>
        <w:br/>
        <w:t>- Ultrasonography unit uses ultrasound waves for diagnostic imaging.</w:t>
        <w:br/>
        <w:br/>
        <w:t>Further Insights:</w:t>
        <w:br/>
        <w:t>- A Geiger-Muller counter can detect alpha, beta, and gamma radiation, though sensitivity varies with detector design.</w:t>
        <w:br/>
        <w:t>- In nuclear medicine, radioactive tracers are used to study the functioning of organs such as the thyroid and heart.</w:t>
        <w:br/>
        <w:t>- Radiotherapy uses controlled radiation to destroy cancer cells.</w:t>
        <w:br/>
        <w:t>- In industry, radioactive sources are used in radiography to detect internal defects in metal parts and welds.</w:t>
        <w:br/>
        <w:t>- Radiation workers often wear dosimeters to measure their accumulated exposure over time.</w:t>
        <w:br/>
        <w:br/>
        <w:br/>
        <w:t>10. The Ku band commonly used for DTH television and many satellite communication links falls approximately in which frequency range?</w:t>
        <w:br/>
        <w:t>(1) 12 to 18 GHz</w:t>
        <w:br/>
        <w:t>(2) 26.5 to 40 GHz</w:t>
        <w:br/>
        <w:t>(3) 18 to 27 GHz</w:t>
        <w:br/>
        <w:t>(4) 8 to 12 GHz</w:t>
        <w:br/>
        <w:t>Answer Key:  1</w:t>
        <w:br/>
        <w:t>Solution:</w:t>
        <w:br/>
        <w:t>The correct answer is 12 to 18 GHz. The Ku band is a part of the microwave region and is generally taken as spanning about 12-18 GHz. It is widely used in satellite television broadcasting, VSAT systems, and other communication links because it supports high-frequency transmission with relatively small dish antennas.</w:t>
        <w:br/>
        <w:br/>
        <w:t>- 8 to 12 GHz is generally associated with the X band.</w:t>
        <w:br/>
        <w:t>- 18 to 27 GHz corresponds broadly to the K band.</w:t>
        <w:br/>
        <w:t>- 26.5 to 40 GHz is the Ka band used in higher-frequency satellite links.</w:t>
        <w:br/>
        <w:br/>
        <w:t>Further Insights:</w:t>
        <w:br/>
        <w:t>- C band used in satellite communication lies roughly in the 4-8 GHz range.</w:t>
        <w:br/>
        <w:t>- Ka band is used for high-throughput satellite services and broadband communication.</w:t>
        <w:br/>
        <w:t>- Microwaves broadly occupy frequencies from about 1 GHz to 300 GHz.</w:t>
        <w:br/>
        <w:t>- Rain attenuation affects Ku and Ka bands more strongly than C band.</w:t>
        <w:br/>
        <w:br/>
        <w:br/>
        <w:t>11. The streamlined shape of a racing boat is mainly designed to reduce which effect in water?</w:t>
        <w:br/>
        <w:t>(1) Viscosity</w:t>
        <w:br/>
        <w:t>(2) Buoyant force</w:t>
        <w:br/>
        <w:t>(3) Surface tension</w:t>
        <w:br/>
        <w:t>(4) Fluid friction</w:t>
        <w:br/>
        <w:t>Answer Key:  4</w:t>
        <w:br/>
        <w:t>Solution:</w:t>
        <w:br/>
        <w:t>Fluid friction is the resistive force offered by a liquid or gas to a moving object. A streamlined shape reduces this resistance in water, which is why racing boats, fish and submarines are designed in this form.</w:t>
        <w:br/>
        <w:br/>
        <w:t>- Buoyant force: Buoyancy is the upward force exerted by a fluid on an object and is not what streamlining is mainly meant to reduce.</w:t>
        <w:br/>
        <w:t>- Surface tension: Surface tension acts at the surface of a liquid and mainly affects phenomena like droplet formation, not the drag on a moving boat.</w:t>
        <w:br/>
        <w:t>- Viscosity: Viscosity is a property of the fluid itself, whereas the boat’s shape is altered to reduce the frictional drag caused by motion through the fluid.</w:t>
        <w:br/>
        <w:br/>
        <w:t>Further Insights:</w:t>
        <w:br/>
        <w:t>- Fluid friction in liquids and gases is commonly called drag.</w:t>
        <w:br/>
        <w:t>- Air resistance is also a form of fluid friction because air is a fluid.</w:t>
        <w:br/>
        <w:t>- Streamlined shapes are used in aircraft, birds, fish and high-speed vehicles.</w:t>
        <w:br/>
        <w:t>- Higher speed usually increases fluid friction on a moving object.</w:t>
        <w:br/>
        <w:t>- Liquids with greater viscosity generally oppose motion more strongly than less viscous liquids.</w:t>
        <w:br/>
        <w:br/>
        <w:br/>
        <w:t>12. The shift of spectral lines toward longer wavelength when the source is moving away from the observer is called:</w:t>
        <w:br/>
        <w:t>(1) Red shift</w:t>
        <w:br/>
        <w:t>(2) Diffraction</w:t>
        <w:br/>
        <w:t>(3) Polarisation</w:t>
        <w:br/>
        <w:t>(4) Blue shift</w:t>
        <w:br/>
        <w:t>Answer Key:  1</w:t>
        <w:br/>
        <w:t>Solution:</w:t>
        <w:br/>
        <w:t>Red shift is the correct answer. When a light source moves away from an observer, the observed wavelength becomes longer and the spectral lines shift toward the red end of the spectrum. This is a Doppler-related effect widely used in astronomy to study receding celestial bodies.</w:t>
        <w:br/>
        <w:br/>
        <w:t>- Blue shift: It occurs when the source moves toward the observer, making the observed wavelength shorter.</w:t>
        <w:br/>
        <w:t>- Polarisation: It is a property of transverse waves in which vibrations are limited to a particular direction.</w:t>
        <w:br/>
        <w:t>- Diffraction: It is the bending and spreading of waves when they pass around obstacles or through narrow openings.</w:t>
        <w:br/>
        <w:br/>
        <w:t>Further Insights:</w:t>
        <w:br/>
        <w:t>- Red shift and blue shift are both related to the Doppler effect for light.</w:t>
        <w:br/>
        <w:t>- Astronomers use red shift to estimate the radial velocity of stars and galaxies.</w:t>
        <w:br/>
        <w:t>- A receding sound source similarly produces a lower observed pitch.</w:t>
        <w:br/>
        <w:t>- Spectral lines are characteristic wavelengths emitted or absorbed by elements.</w:t>
        <w:br/>
        <w:t>- Observation of red shift in distant galaxies supports the idea of an expanding universe.</w:t>
        <w:br/>
        <w:br/>
        <w:br/>
        <w:t>13. Two 2000 W geysers are used 15 minutes daily for 10 days. How many electricity units do they consume altogether?</w:t>
        <w:br/>
        <w:t>(1) 5 units</w:t>
        <w:br/>
        <w:t>(2) 20 units</w:t>
        <w:br/>
        <w:t>(3) 10 units</w:t>
        <w:br/>
        <w:t>(4) 12 units</w:t>
        <w:br/>
        <w:t>Answer Key:  3</w:t>
        <w:br/>
        <w:t>Solution:</w:t>
        <w:br/>
        <w:t>Formula: Electrical energy in units = Total power in kW × time in hours</w:t>
        <w:br/>
        <w:br/>
        <w:t>Let P = total power of both geysers</w:t>
        <w:br/>
        <w:t>P = 2 × 2000 W</w:t>
        <w:br/>
        <w:t>P = 4000 W</w:t>
        <w:br/>
        <w:t>P = 4 kW</w:t>
        <w:br/>
        <w:br/>
        <w:t>Let t = daily usage time</w:t>
        <w:br/>
        <w:t>t = 15 minutes</w:t>
        <w:br/>
        <w:t>t = 15/60 hour</w:t>
        <w:br/>
        <w:t>t = 0.25 hour</w:t>
        <w:br/>
        <w:br/>
        <w:t>Let d = number of days</w:t>
        <w:br/>
        <w:t>d = 10</w:t>
        <w:br/>
        <w:br/>
        <w:t>Energy consumed = P × t × d</w:t>
        <w:br/>
        <w:t>= 4 × 0.25 × 10</w:t>
        <w:br/>
        <w:t>= 4 × 2.5</w:t>
        <w:br/>
        <w:t>= 10 kWh</w:t>
        <w:br/>
        <w:t>= 10 units</w:t>
        <w:br/>
        <w:br/>
        <w:t>Therefore, 10 units is correct because 1 unit of electricity equals 1 kilowatt-hour. A geyser works on the heating effect of electric current, and electricity bills record the total electrical energy used in kWh.</w:t>
        <w:br/>
        <w:br/>
        <w:t>- 5 units: This is obtained if only one geyser is counted and the second geyser is ignored.</w:t>
        <w:br/>
        <w:t>- 12 units: This comes from a wrong time conversion or an incorrect multiplication with the daily usage.</w:t>
        <w:br/>
        <w:t>- 20 units: This is obtained by doubling the actual usage, such as taking 15 minutes as 30 minutes.</w:t>
        <w:br/>
        <w:br/>
        <w:t>Further Insights:</w:t>
        <w:br/>
        <w:t>- 1 kilowatt = 1000 watts.</w:t>
        <w:br/>
        <w:t>- 1 unit of electricity = 1 kilowatt-hour.</w:t>
        <w:br/>
        <w:t>- Geysers, irons and heaters use the heating effect of electric current.</w:t>
        <w:br/>
        <w:t>- For the same usage time, a higher wattage appliance consumes more electrical energy.</w:t>
        <w:br/>
        <w:br/>
        <w:br/>
        <w:t>14. An electron is confined to 1.0 × 10^-10 m. If h/4πme ≈ 5.8 × 10^-5 m^2/s, its minimum speed uncertainty is approximately:</w:t>
        <w:br/>
        <w:t>(1) 5.8 × 10^-15 m/s</w:t>
        <w:br/>
        <w:t>(2) 1.2 × 10^6 m/s</w:t>
        <w:br/>
        <w:t>(3) 5.8 × 10^4 m/s</w:t>
        <w:br/>
        <w:t>(4) 5.8 × 10^5 m/s</w:t>
        <w:br/>
        <w:t>Answer Key:  4</w:t>
        <w:br/>
        <w:t>Solution:</w:t>
        <w:br/>
        <w:t>Heisenberg uncertainty principle: ΔxΔp ≥ h/4π</w:t>
        <w:br/>
        <w:t>Also, Δp = mΔv</w:t>
        <w:br/>
        <w:t>So, Δx · mΔv ≥ h/4π</w:t>
        <w:br/>
        <w:t>Δv ≥ h/(4πmΔx)</w:t>
        <w:br/>
        <w:br/>
        <w:t>Let Δx = 1.0 × 10^-10 m</w:t>
        <w:br/>
        <w:t>Let h/4πme = 5.8 × 10^-5 m^2/s</w:t>
        <w:br/>
        <w:br/>
        <w:t>Δv ≥ (5.8 × 10^-5)/(1.0 × 10^-10)</w:t>
        <w:br/>
        <w:t>= 5.8 × 10^5 m/s</w:t>
        <w:br/>
        <w:br/>
        <w:t>Therefore, the approximate minimum uncertainty in speed is 5.8 × 10^5 m/s. The Heisenberg uncertainty principle shows that tighter confinement in position leads to a larger uncertainty in momentum and hence in velocity for an electron.</w:t>
        <w:br/>
        <w:br/>
        <w:t>- 5.8 × 10^-15 m/s: This is obtained by multiplying the powers of ten instead of dividing.</w:t>
        <w:br/>
        <w:t>- 1.2 × 10^6 m/s: This comes from using twice the required constant, effectively taking h/2πm.</w:t>
        <w:br/>
        <w:t>- 5.8 × 10^4 m/s: This is due to a one-power-of-ten mistake in scientific notation.</w:t>
        <w:br/>
        <w:br/>
        <w:t>Further Insights:</w:t>
        <w:br/>
        <w:t>- The uncertainty principle is commonly written as ΔxΔp ≥ h/4π or equivalently ΔxΔp ≥ ħ/2.</w:t>
        <w:br/>
        <w:t>- It gives a lower bound on uncertainty, not an exact measured value.</w:t>
        <w:br/>
        <w:t>- The effect is significant for microscopic particles such as electrons but negligible for macroscopic bodies.</w:t>
        <w:br/>
        <w:t>- For non-relativistic motion, momentum uncertainty and velocity uncertainty are related by Δp = mΔv.</w:t>
        <w:br/>
        <w:br/>
        <w:br/>
        <w:t>15. According to molecular orbital theory, for O2+, O2- and N2 respectively, which ordered set correctly gives bond order and magnetic behaviour?</w:t>
        <w:br/>
        <w:t>(1) O2+ -&gt; 2, paramagnetic; O2- -&gt; 2, diamagnetic; N2 -&gt; 3, paramagnetic</w:t>
        <w:br/>
        <w:t>(2) O2+ -&gt; 2.5, diamagnetic; O2- -&gt; 1.5, paramagnetic; N2 -&gt; 2, diamagnetic</w:t>
        <w:br/>
        <w:t>(3) O2+ -&gt; 2.5, paramagnetic; O2- -&gt; 1.5, paramagnetic; N2 -&gt; 3, diamagnetic</w:t>
        <w:br/>
        <w:t>(4) O2+ -&gt; 1.5, paramagnetic; O2- -&gt; 2.5, paramagnetic; N2 -&gt; 3, diamagnetic</w:t>
        <w:br/>
        <w:t>Answer Key:  3</w:t>
        <w:br/>
        <w:t>Solution:</w:t>
        <w:br/>
        <w:t>Bond order = (number of bonding electrons - number of antibonding electrons)/2. In O2+, one electron is removed from an antibonding pi* orbital of O2, so the bond order becomes 2.5 and one unpaired electron remains; in O2-, one electron is added to the same antibonding level, so the bond order becomes 1.5 and it is still paramagnetic. N2 has bond order 3 with all electrons paired, so it is diamagnetic; hence Option 3 is correct.</w:t>
        <w:br/>
        <w:br/>
        <w:t>- Option 1 is wrong because it interchanges the bond orders of O2+ and O2-.</w:t>
        <w:br/>
        <w:t>- Option 2 is wrong because O2+ is paramagnetic and N2 has bond order 3.</w:t>
        <w:br/>
        <w:t>- Option 4 is wrong because O2- is paramagnetic and N2 is diamagnetic.</w:t>
        <w:br/>
        <w:br/>
        <w:t>Further Insights:</w:t>
        <w:br/>
        <w:t>- Neutral O2 is paramagnetic because it contains two unpaired electrons in pi* antibonding orbitals.</w:t>
        <w:br/>
        <w:t>- Removal of an electron from an antibonding orbital increases bond order.</w:t>
        <w:br/>
        <w:t>- Addition of an electron to an antibonding orbital decreases bond order.</w:t>
        <w:br/>
        <w:t>- N2 has a very strong triple bond, which is consistent with its bond order of 3.</w:t>
        <w:br/>
        <w:br/>
        <w:br/>
        <w:t>16. In water, among NH4Cl, CH3COONa, KNO3, HCl, NaOH and Na2CO3, how many give methyl orange red and phenolphthalein pink, respectively?</w:t>
        <w:br/>
        <w:t>(1) 2 and 2</w:t>
        <w:br/>
        <w:t>(2) 3 and 3</w:t>
        <w:br/>
        <w:t>(3) 2 and 3</w:t>
        <w:br/>
        <w:t>(4) 3 and 2</w:t>
        <w:br/>
        <w:t>Answer Key:  3</w:t>
        <w:br/>
        <w:t>Solution:</w:t>
        <w:br/>
        <w:t>2 and 3 is correct. In water, HCl is acidic and NH4Cl is an acidic salt, so these two give methyl orange red. NaOH, Na2CO3 and CH3COONa are basic in aqueous solution and give phenolphthalein pink, while KNO3 is neutral.</w:t>
        <w:br/>
        <w:br/>
        <w:t>- 2 and 2 is wrong because CH3COONa is a basic salt and should also be counted under phenolphthalein pink.</w:t>
        <w:br/>
        <w:t>- 3 and 2 is wrong because it wrongly treats KNO3 as acidic and also omits one basic solution.</w:t>
        <w:br/>
        <w:t>- 3 and 3 is wrong because the first count becomes 3 only if neutral KNO3 is misclassified.</w:t>
        <w:br/>
        <w:br/>
        <w:t>Further Insights:</w:t>
        <w:br/>
        <w:t>- Methyl orange is red in acidic medium and yellow in basic medium.</w:t>
        <w:br/>
        <w:t>- Phenolphthalein is colourless in acidic and neutral media but pink in basic medium.</w:t>
        <w:br/>
        <w:t>- NH4Cl is formed from a strong acid and a weak base, so its aqueous solution is acidic.</w:t>
        <w:br/>
        <w:t>- CH3COONa is formed from a weak acid and a strong base, so its aqueous solution is basic.</w:t>
        <w:br/>
        <w:br/>
        <w:br/>
        <w:t>17. Which of the following is the purest commercial form of iron?</w:t>
        <w:br/>
        <w:t>(1) Pig iron</w:t>
        <w:br/>
        <w:t>(2) Steel</w:t>
        <w:br/>
        <w:t>(3) Cast iron</w:t>
        <w:br/>
        <w:t>(4) Wrought iron</w:t>
        <w:br/>
        <w:t>Answer Key:  4</w:t>
        <w:br/>
        <w:t>Solution:</w:t>
        <w:br/>
        <w:t>Wrought iron is the purest commercial form of iron. It contains very little carbon, generally less than about 0.1%, and is known for being tough, malleable, and relatively resistant to corrosion compared with other common commercial forms of iron.</w:t>
        <w:br/>
        <w:br/>
        <w:t>- Pig iron is the impure iron obtained directly from the blast furnace and contains a high percentage of carbon.</w:t>
        <w:br/>
        <w:t>- Steel is an alloy of iron with carbon and sometimes other elements, made to obtain specific mechanical properties.</w:t>
        <w:br/>
        <w:t>- Cast iron contains more carbon than wrought iron and is hard but comparatively brittle.</w:t>
        <w:br/>
        <w:br/>
        <w:t>Further Insights:</w:t>
        <w:br/>
        <w:t>- Wrought iron often contains fibrous slag, which gives it a characteristic grain structure.</w:t>
        <w:br/>
        <w:t>- Pig iron is the basic raw material used for manufacturing steel and cast iron.</w:t>
        <w:br/>
        <w:t>- Cast iron is commonly used in pipes, machine parts, and engine blocks.</w:t>
        <w:br/>
        <w:t>- Steel has a carbon content between wrought iron and cast iron in most conventional classifications.</w:t>
        <w:br/>
        <w:t>- In basic metallurgy questions, purity, carbon content, and brittleness are common bases for distinguishing commercial forms of iron.</w:t>
        <w:br/>
        <w:br/>
        <w:br/>
        <w:t>18. Which one of the following statement-style descriptions of organic reagents, catalysts and reaction conditions is NOT correct?</w:t>
        <w:br/>
        <w:t>(1) 2,4-DNP reagent gives a yellow or orange precipitate with aldehydes and ketones, but ordinary carboxylic acids and esters do not give this test.</w:t>
        <w:br/>
        <w:t>(2) Benzaldehyde generally gives a positive Tollens test but does not reduce Fehling's solution under ordinary laboratory conditions.</w:t>
        <w:br/>
        <w:t>(3) Ethanal gives the iodoform test with iodine and alkali, whereas benzaldehyde does not.</w:t>
        <w:br/>
        <w:t>(4) Phenol undergoes Friedel-Crafts alkylation smoothly with an alkyl halide in the presence of anhydrous AlCl3 to give o- and p-alkylphenols as a standard method.</w:t>
        <w:br/>
        <w:t>Answer Key:  4</w:t>
        <w:br/>
        <w:t>Solution:</w:t>
        <w:br/>
        <w:t>Option 4 is incorrect. Phenol usually does not undergo normal Friedel-Crafts alkylation or acylation with anhydrous AlCl3 because the oxygen atom of phenol coordinates strongly with the Lewis acid catalyst. This complex formation interferes with the usual reaction pathway, so the statement that it proceeds smoothly as a standard method is wrong.</w:t>
        <w:br/>
        <w:br/>
        <w:t>- Option 1: 2,4-DNP, also called Brady's reagent, gives yellow or orange hydrazone precipitates with aldehydes and ketones, not with ordinary carboxylic acids or esters.</w:t>
        <w:br/>
        <w:t>- Option 2: Benzaldehyde is positive with Tollens' reagent but is usually negative with Fehling's solution, making it a well-known exception among aldehydes.</w:t>
        <w:br/>
        <w:t>- Option 3: Ethanal gives the iodoform test because it contains the CH3CHO group, whereas benzaldehyde lacks the required structural feature.</w:t>
        <w:br/>
        <w:br/>
        <w:t>Further Insights</w:t>
        <w:br/>
        <w:t>- Lucas reagent is concentrated HCl with anhydrous ZnCl2 and is used to distinguish alcohols by the rate of turbidity formation.</w:t>
        <w:br/>
        <w:t>- Tollens' reagent is ammoniacal silver nitrate and is mainly used to detect aldehydes by silver mirror formation.</w:t>
        <w:br/>
        <w:t>- Fehling's solution is readily reduced by aliphatic aldehydes, but ordinary aromatic aldehydes usually do not reduce it.</w:t>
        <w:br/>
        <w:t>- Reimer-Tiemann reaction introduces a formyl group into phenol using chloroform and aqueous alkali, giving mainly salicylaldehyde after acidification.</w:t>
        <w:br/>
        <w:br/>
        <w:br/>
        <w:t>19. Assertion (A): Polyploidy can lead to instant speciation in plants. Reason (R): A newly formed polyploid often shows reduced fertility when crossed with its diploid parental population because normal homologous pairing during meiosis is disturbed. Choose the correct option.</w:t>
        <w:br/>
        <w:t>(1) A is true, but R is false.</w:t>
        <w:br/>
        <w:t>(2) A is false, but R is true.</w:t>
        <w:br/>
        <w:t>(3) Both A and R are true, and R is the correct explanation of A.</w:t>
        <w:br/>
        <w:t>(4) Both A and R are true, but R is not the correct explanation of A.</w:t>
        <w:br/>
        <w:t>Answer Key:  3</w:t>
        <w:br/>
        <w:t>Solution:</w:t>
        <w:br/>
        <w:t>Both A and R are true, and R is the correct explanation of A. Polyploidy is a mutation involving addition of one or more complete sets of chromosomes, and in plants it is a major source of evolutionary novelty. When a polyploid crosses with a diploid parental population, the resulting hybrids often undergo irregular chromosome pairing in meiosis and show low fertility or sterility. This reproductive isolation explains how polyploidy can produce instant speciation.</w:t>
        <w:br/>
        <w:t>- Both A and R are true, but R is not the correct explanation of A. Incorrect because the meiotic incompatibility described in R is exactly the mechanism that makes polyploidy speciation possible.</w:t>
        <w:br/>
        <w:t>- A is true, but R is false. Incorrect because R is factually true; abnormal chromosome pairing is a standard consequence in many diploid–polyploid crosses.</w:t>
        <w:br/>
        <w:t>- A is false, but R is true. Incorrect because A is also true; polyploidy is a recognized route of speciation especially in flowering plants.</w:t>
        <w:br/>
        <w:t>Further Insights:</w:t>
        <w:br/>
        <w:t>- Autopolyploidy arises from chromosome duplication within a species, whereas allopolyploidy follows hybridization between different species plus chromosome doubling.</w:t>
        <w:br/>
        <w:t>- Polyploidy is much more common and evolutionarily important in plants than in most animals.</w:t>
        <w:br/>
        <w:t>- Bread wheat is a well-known polyploid crop with multiple sets of chromosomes.</w:t>
        <w:br/>
        <w:t>- Colchicine can induce polyploidy experimentally by interfering with spindle formation during cell division.</w:t>
        <w:br/>
        <w:br/>
        <w:br/>
        <w:t>20. Assertion (A): The G2/M checkpoint prevents entry into mitosis when DNA replication is incomplete. Reason (R): The spindle assembly checkpoint delays anaphase until all kinetochores are attached to spindle microtubules. Choose the correct answer.</w:t>
        <w:br/>
        <w:t>(1) A is false, but R is true.</w:t>
        <w:br/>
        <w:t>(2) A is true, but R is false.</w:t>
        <w:br/>
        <w:t>(3) Both A and R are true, and R is the correct explanation of A.</w:t>
        <w:br/>
        <w:t>(4) Both A and R are true, but R is not the correct explanation of A.</w:t>
        <w:br/>
        <w:t>Answer Key:  4</w:t>
        <w:br/>
        <w:t>Solution:</w:t>
        <w:br/>
        <w:t>The correct answer is Both A and R are true, but R is not the correct explanation of A. The G2/M checkpoint functions before mitosis and prevents a cell from entering M phase if DNA replication is incomplete or if significant DNA damage persists. The spindle assembly checkpoint acts later during mitosis, especially around metaphase, ensuring proper kinetochore attachment before sister chromatids separate, so it does not explain the G2/M block.</w:t>
        <w:br/>
        <w:br/>
        <w:t>- Both A and R are true, and R is the correct explanation of A is incorrect because R refers to a later mitotic checkpoint, not the G2/M checkpoint.</w:t>
        <w:br/>
        <w:t>- A is true, but R is false is incorrect because the spindle assembly checkpoint does indeed monitor kinetochore-spindle attachment.</w:t>
        <w:br/>
        <w:t>- A is false, but R is true is incorrect because incomplete DNA replication is a valid cause for arrest at the G2/M checkpoint.</w:t>
        <w:br/>
        <w:br/>
        <w:t>Further Insights:</w:t>
        <w:br/>
        <w:t>- Interphase consists of G1, S, and G2 phases, with DNA replication occurring specifically in S phase.</w:t>
        <w:br/>
        <w:t>- Entry into mitosis is strongly associated with activation of cyclin B-CDK1 complex.</w:t>
        <w:br/>
        <w:t>- The spindle assembly checkpoint helps prevent aneuploidy by delaying chromatid separation until proper attachment occurs.</w:t>
        <w:br/>
        <w:t>- Checkpoints are surveillance mechanisms that preserve genomic stability across the cell cycle.</w:t>
        <w:br/>
        <w:br/>
        <w:br/>
        <w:t>21. Interconnected grazing and detritus food chains are jointly depicted in the:</w:t>
        <w:br/>
        <w:t>(1) Ecological niche model</w:t>
        <w:br/>
        <w:t>(2) Single-channel energy flow model</w:t>
        <w:br/>
        <w:t>(3) Y-shaped energy flow model</w:t>
        <w:br/>
        <w:t>(4) Pyramid of biomass</w:t>
        <w:br/>
        <w:t>Answer Key:  3</w:t>
        <w:br/>
        <w:t>Solution:</w:t>
        <w:br/>
        <w:t>Y-shaped energy flow model is correct. In ecosystem ecology, the Y-shaped model represents energy moving through both the grazing food chain and the detritus food chain at the same time. It is used to show that natural ecosystems commonly function through these two interconnected pathways rather than through a single linear chain alone.</w:t>
        <w:br/>
        <w:br/>
        <w:t>- Single-channel energy flow model represents only one dominant pathway of energy transfer and does not depict the integrated dual-channel structure.</w:t>
        <w:br/>
        <w:t>- Pyramid of biomass shows the standing mass of organisms at successive trophic levels, not the linkage of grazing and detritus chains.</w:t>
        <w:br/>
        <w:t>- Ecological niche model concerns the role and position of a species in an ecosystem, not a diagram of combined food-chain pathways.</w:t>
        <w:br/>
        <w:br/>
        <w:t>Further Insights:</w:t>
        <w:br/>
        <w:t>- The Y-shaped energy flow concept is associated with E. P. Odum's ecosystem-level explanation of energy movement.</w:t>
        <w:br/>
        <w:t>- Grazing food chains begin with living producers such as green plants or phytoplankton.</w:t>
        <w:br/>
        <w:t>- Detritus food chains begin with dead organic matter and are driven by decomposers and detritivores.</w:t>
        <w:br/>
        <w:t>- A food web is formed when multiple food chains are interconnected within the same ecosystem.</w:t>
        <w:br/>
        <w:t>- Energy transfer across trophic levels is inefficient, which limits the number of trophic levels in most ecosystems.</w:t>
        <w:br/>
        <w:br/>
        <w:br/>
        <w:t>22. What is DNA primase during DNA replication?</w:t>
        <w:br/>
        <w:t>(1) The enzyme that seals nicks between adjacent Okazaki fragments by forming phosphodiester bonds</w:t>
        <w:br/>
        <w:t>(2) The enzyme that separates the two parental DNA strands by breaking hydrogen bonds</w:t>
        <w:br/>
        <w:t>(3) The enzyme that synthesizes short RNA primers needed to initiate DNA synthesis on template strands</w:t>
        <w:br/>
        <w:t>(4) The enzyme that relieves torsional strain ahead of the replication fork by cutting and rejoining DNA strands</w:t>
        <w:br/>
        <w:t>Answer Key:  3</w:t>
        <w:br/>
        <w:t>Solution:</w:t>
        <w:br/>
        <w:t>The enzyme that synthesizes short RNA primers needed to initiate DNA synthesis on template strands is correct. DNA polymerase cannot start a new strand on its own and needs a free 3'-OH end, which is provided by the RNA primer made by primase. At the replication fork, primase is especially important for starting synthesis on the lagging strand and for each Okazaki fragment.</w:t>
        <w:br/>
        <w:br/>
        <w:t>- The enzyme that relieves torsional strain ahead of the replication fork by cutting and rejoining DNA strands refers to topoisomerase, which reduces supercoiling ahead of the fork.</w:t>
        <w:br/>
        <w:t>- The enzyme that seals nicks between adjacent Okazaki fragments by forming phosphodiester bonds refers to DNA ligase, which joins DNA fragments after synthesis.</w:t>
        <w:br/>
        <w:t>- The enzyme that separates the two parental DNA strands by breaking hydrogen bonds refers to helicase, which unwinds the double helix.</w:t>
        <w:br/>
        <w:br/>
        <w:t>Further Insights:</w:t>
        <w:br/>
        <w:t>- Primase is a type of RNA polymerase.</w:t>
        <w:br/>
        <w:t>- The leading strand usually requires one primer, while the lagging strand requires many primers.</w:t>
        <w:br/>
        <w:t>- Okazaki fragments are formed on the lagging strand because DNA synthesis proceeds only in the 5' to 3' direction.</w:t>
        <w:br/>
        <w:t>- The replication fork is the Y-shaped region where DNA unwinding and new strand synthesis occur.</w:t>
        <w:br/>
        <w:t>- In prokaryotes, RNA primers are later removed and replaced with DNA before the strand is sealed.</w:t>
        <w:br/>
        <w:br/>
        <w:br/>
        <w:t>23. In the activated sludge process of sewage treatment, the excess settled biomass from the secondary settling tank is pumped into which unit for anaerobic digestion?</w:t>
        <w:br/>
        <w:t>(1) Chlorination tank</w:t>
        <w:br/>
        <w:t>(2) Aeration tank</w:t>
        <w:br/>
        <w:t>(3) Sludge digester</w:t>
        <w:br/>
        <w:t>(4) Grit chamber</w:t>
        <w:br/>
        <w:t>Answer Key:  3</w:t>
        <w:br/>
        <w:t>Solution:</w:t>
        <w:br/>
        <w:t>The correct answer is Sludge digester. In the activated sludge process, the settled biomass from the secondary clarifier is split into two parts: one part is returned to the aeration tank, while the excess sludge is pumped to anaerobic sludge digesters. In the digester, anaerobic microorganisms decompose the organic matter and help stabilize the sludge.</w:t>
        <w:br/>
        <w:br/>
        <w:t>- Grit chamber: It is an early treatment unit that removes sand, silt, and other heavy inorganic particles from incoming sewage.</w:t>
        <w:br/>
        <w:t>- Chlorination tank: It is used to disinfect treated effluent before discharge or reuse, not to digest sludge.</w:t>
        <w:br/>
        <w:t>- Aeration tank: It receives sewage and recycled activated sludge, but only the return sludge goes back there, not the excess sludge.</w:t>
        <w:br/>
        <w:br/>
        <w:t>Further Insights:</w:t>
        <w:br/>
        <w:t>- Activated sludge is a mass of microbial flocs formed mainly by bacteria along with fungal filaments and other microorganisms.</w:t>
        <w:br/>
        <w:t>- The activated sludge process is part of secondary, that is, biological sewage treatment.</w:t>
        <w:br/>
        <w:t>- A secondary settling tank is also called a clarifier, where microbial flocs settle out from the treated effluent.</w:t>
        <w:br/>
        <w:t>- Anaerobic digestion of sludge can produce biogas rich in methane.</w:t>
        <w:br/>
        <w:t>- Recycling part of the settled sludge helps maintain a high microbial population in the aeration tank.</w:t>
        <w:br/>
        <w:br/>
        <w:br/>
        <w:t>24. Which one of the following is the Indus Valley site in present-day Rajasthan where archaeological evidence of a ploughed field was discovered?</w:t>
        <w:br/>
        <w:t>(1) Dholavira</w:t>
        <w:br/>
        <w:t>(2) Kalibangan</w:t>
        <w:br/>
        <w:t>(3) Lothal</w:t>
        <w:br/>
        <w:t>(4) Rakhigarhi</w:t>
        <w:br/>
        <w:t>Answer Key:  2</w:t>
        <w:br/>
        <w:t>Solution:</w:t>
        <w:br/>
        <w:t>Kalibangan is correct. Kalibangan, located in present-day Rajasthan on the Ghaggar river system, yielded archaeological evidence of a ploughed field with a distinct criss-cross furrow pattern. This discovery is an important clue for understanding agricultural practices in the Indus Civilization.</w:t>
        <w:br/>
        <w:br/>
        <w:t>- Dholavira: Dholavira in Gujarat is especially known for its sophisticated water reservoirs and town planning.</w:t>
        <w:br/>
        <w:t>- Lothal: Lothal in Gujarat is famous for its dockyard and maritime trade connections.</w:t>
        <w:br/>
        <w:t>- Rakhigarhi: Rakhigarhi in Haryana is one of the largest Harappan sites but is not linked to the ploughed field discovery.</w:t>
        <w:br/>
        <w:br/>
        <w:t>Further Insights:</w:t>
        <w:br/>
        <w:t>- Kalibangan is situated in present-day Hanumangarh district of Rajasthan.</w:t>
        <w:br/>
        <w:t>- The site shows both pre-Harappan and mature Harappan cultural phases.</w:t>
        <w:br/>
        <w:t>- Kalibangan is also noted for evidence of fire altars.</w:t>
        <w:br/>
        <w:t>- Dholavira is located on Khadir Bet in the Rann of Kachchh.</w:t>
        <w:br/>
        <w:t>- Lothal is closely associated with bead-making and overseas trade.</w:t>
        <w:br/>
        <w:br/>
        <w:br/>
        <w:t>25. In a Vedic yajna, which priest supervised the sacrifice and corrected ritual errors, a role traditionally associated with the Atharvaveda?</w:t>
        <w:br/>
        <w:t>(1) Udgatri</w:t>
        <w:br/>
        <w:t>(2) Hotri</w:t>
        <w:br/>
        <w:t>(3) Adhvaryu</w:t>
        <w:br/>
        <w:t>(4) Brahman</w:t>
        <w:br/>
        <w:t>Answer Key:  4</w:t>
        <w:br/>
        <w:t>Solution:</w:t>
        <w:br/>
        <w:t>Brahman is the correct option. In the Vedic sacrificial system, the Brahman priest supervised the entire yajna and watched for mistakes committed by the other officiating priests. This role became especially associated with the Atharvaveda, distinguishing it from the more specialized functions of the other principal priests.</w:t>
        <w:br/>
        <w:br/>
        <w:t>- Hotri: The Hotri recited hymns mainly from the Rigveda during the sacrifice.</w:t>
        <w:br/>
        <w:t>- Adhvaryu: The Adhvaryu managed the physical and procedural performance of the yajna using Yajurvedic formulae.</w:t>
        <w:br/>
        <w:t>- Udgatri: The Udgatri chanted the melodic hymns of the Samaveda, especially in Soma rituals.</w:t>
        <w:br/>
        <w:br/>
        <w:t>Further Insights:</w:t>
        <w:br/>
        <w:t>- The four principal Vedic sacrificial priests were Hotri, Adhvaryu, Udgatri, and Brahman.</w:t>
        <w:br/>
        <w:t>- The Rigveda is chiefly associated with recited hymns, while the Samaveda is associated with chants.</w:t>
        <w:br/>
        <w:t>- The Yajurveda is closely linked with sacrificial formulas and ritual procedure.</w:t>
        <w:br/>
        <w:t>- The Atharvaveda was incorporated into the orthodox Vedic corpus later than the other three Vedas.</w:t>
        <w:br/>
        <w:t>- Large Vedic sacrifices often required multiple specialized priests working in coordination.</w:t>
        <w:br/>
        <w:br/>
        <w:br/>
        <w:t>26. In the context of Jain councils and literary traditions, which one of the following associations is incorrect?</w:t>
        <w:br/>
        <w:t>(1) Vallabhi council — Devardhigani Kshamashramana</w:t>
        <w:br/>
        <w:t>(2) Paumachariyam — Svayambhudeva</w:t>
        <w:br/>
        <w:t>(3) Pataliputra council — Sthulabhadra</w:t>
        <w:br/>
        <w:t>(4) Kalpa Sutra — Bhadrabahu</w:t>
        <w:br/>
        <w:t>Answer Key:  2</w:t>
        <w:br/>
        <w:t>Solution:</w:t>
        <w:br/>
        <w:t>Paumachariyam — Svayambhudeva is the incorrect association. Paumachariyam is a Jain Prakrit retelling of the Ramayana traditionally attributed to Vimalasuri. Svayambhudeva, on the other hand, is associated with the Apabhramsha work Paumacariu, which is a different text despite the similarity in title.</w:t>
        <w:br/>
        <w:br/>
        <w:t>- Pataliputra council — Sthulabhadra: This is traditionally accepted in Svetambara accounts of the early Jain council.</w:t>
        <w:br/>
        <w:t>- Vallabhi council — Devardhigani Kshamashramana: This is correct; the Vallabhi council is associated with the compilation/redaction of the Svetambara canon.</w:t>
        <w:br/>
        <w:t>- Kalpa Sutra — Bhadrabahu: This is correct; the text is traditionally linked with Bhadrabahu and is especially important in Jain ritual reading.</w:t>
        <w:br/>
        <w:br/>
        <w:t>Further Insights:</w:t>
        <w:br/>
        <w:t>- The Vallabhi council is generally placed in the 5th-6th century CE and is crucial for the written preservation of the Svetambara Agamas.</w:t>
        <w:br/>
        <w:t>- Digambara tradition does not accept the extant Svetambara canon as the original complete preserved scripture.</w:t>
        <w:br/>
        <w:t>- Vimalasuri's Paumachariyam presents the Ramayana narrative within a distinctly Jain ethical and doctrinal framework.</w:t>
        <w:br/>
        <w:t>- Hemachandra was a major Jain scholar of medieval Gujarat and authored works such as Trishashtishalakapurushacharita and Parishishtaparvan.</w:t>
        <w:br/>
        <w:t>- Jinasena and Gunabhadra are important figures in Jain Sanskrit literary tradition, especially for Adipurana and Uttarapurana.</w:t>
        <w:br/>
        <w:br/>
        <w:br/>
        <w:t>27. Match List-I with List-II and choose the correct code.</w:t>
        <w:br/>
        <w:br/>
        <w:t>List-I</w:t>
        <w:br/>
        <w:t>A. Yashodharman</w:t>
        <w:br/>
        <w:t>B. Bhoja</w:t>
        <w:br/>
        <w:t>C. Gangeyadeva</w:t>
        <w:br/>
        <w:t>D. Pravarasena I</w:t>
        <w:br/>
        <w:br/>
        <w:t>List-II</w:t>
        <w:br/>
        <w:t>1. Kalachuri ruler of Tripuri who assumed the title Trikalingadhipati</w:t>
        <w:br/>
        <w:t>2. Paramara king associated with the work Samarangana Sutradhara</w:t>
        <w:br/>
        <w:t>3. Aulikara ruler known from the Mandsaur pillar inscription for checking Mihirakula</w:t>
        <w:br/>
        <w:t>4. Vakataka ruler noted for performing four Ashvamedha sacrifices</w:t>
        <w:br/>
        <w:t>(1) A-2, B-4, C-1, D-3</w:t>
        <w:br/>
        <w:t>(2) A-3, B-1, C-2, D-4</w:t>
        <w:br/>
        <w:t>(3) A-4, B-2, C-1, D-3</w:t>
        <w:br/>
        <w:t>(4) A-3, B-2, C-1, D-4</w:t>
        <w:br/>
        <w:t>Answer Key:  4</w:t>
        <w:br/>
        <w:t>Solution:</w:t>
        <w:br/>
        <w:t>The correct matching is A-3, B-2, C-1, D-4, so Option 3 is correct. Yashodharman of the Aulikara line is known from the Mandsaur pillar inscription and for his success against Mihirakula. Bhoja of the Paramaras is associated with the treatise Samarangana Sutradhara, Gangeyadeva of the Kalachuris of Tripuri bore the title Trikalingadhipati, and Pravarasena I of the Vakatakas is noted for performing four Ashvamedha sacrifices.</w:t>
        <w:br/>
        <w:t>- Option 1 is incorrect because Samarangana Sutradhara is linked to Bhoja, not Gangeyadeva.</w:t>
        <w:br/>
        <w:t>- Option 2 is incorrect because Pravarasena I was a Vakataka ruler known for Vedic sacrifices, not the Malwa ruler associated with defeating Mihirakula.</w:t>
        <w:br/>
        <w:t>- Option 4 is incorrect because Bhoja was not the ruler noted for four Ashvamedhas; that distinction belongs to Pravarasena I.</w:t>
        <w:br/>
        <w:t>Further Insights:</w:t>
        <w:br/>
        <w:t>- The Aulikaras were an important ruling line in the Malwa region during the early medieval period.</w:t>
        <w:br/>
        <w:t>- Bhoja ruled from Dhara, which became a major centre of learning and culture in Malwa.</w:t>
        <w:br/>
        <w:t>- The Kalachuris of Tripuri had their core region in present-day central India around Tripuri near Jabalpur.</w:t>
        <w:br/>
        <w:t>- The Vakatakas were contemporaries of the Guptas and were linked to them through marriage alliances.</w:t>
        <w:br/>
        <w:t>- Pravarasena I is regarded as one of the most powerful early Vakataka rulers for expanding the dynasty’s political authority.</w:t>
        <w:br/>
        <w:br/>
        <w:br/>
        <w:t>28. Arrange the following rulers, each linked with an important phase in the administration of South Indian kingdoms, in the correct order of accession from earliest to latest: I. Rajaraja I II. Pulakeshin II III. Amoghavarsha I IV. Narasimhavarman I</w:t>
        <w:br/>
        <w:t>(1) I, III, IV, II</w:t>
        <w:br/>
        <w:t>(2) II, IV, III, I</w:t>
        <w:br/>
        <w:t>(3) II, III, IV, I</w:t>
        <w:br/>
        <w:t>(4) IV, II, III, I</w:t>
        <w:br/>
        <w:t>Answer Key:  2</w:t>
        <w:br/>
        <w:t>Solution:</w:t>
        <w:br/>
        <w:t>The correct order is II, IV, III, I. Pulakeshin II of the Early Western Chalukyas ruled in the early 7th century and preceded Narasimhavarman I of the Pallavas, who came to power around 630 CE. Amoghavarsha I was a much later Rashtrakuta ruler of the 9th century, while Rajaraja I belonged to the still later Chola phase of the late 10th and early 11th centuries.</w:t>
        <w:br/>
        <w:br/>
        <w:t>- I, III, IV, II is incorrect because Rajaraja I was the latest among the four, not the earliest.</w:t>
        <w:br/>
        <w:t>- IV, II, III, I is incorrect because Pulakeshin II ascended before Narasimhavarman I.</w:t>
        <w:br/>
        <w:t>- II, III, IV, I is incorrect because Amoghavarsha I ruled long after Narasimhavarman I.</w:t>
        <w:br/>
        <w:br/>
        <w:t>Further Insights:</w:t>
        <w:br/>
        <w:t>- Pulakeshin II is prominently known from the Aihole inscription composed by Ravikirti.</w:t>
        <w:br/>
        <w:t>- Narasimhavarman I earned fame for defeating the Chalukyas and capturing Vatapi.</w:t>
        <w:br/>
        <w:t>- Amoghavarsha I is associated with the Rashtrakuta capital at Manyakheta and with literary patronage.</w:t>
        <w:br/>
        <w:t>- Rajaraja I strengthened Chola administration through revenue survey, territorial organization, and detailed temple inscriptions.</w:t>
        <w:br/>
        <w:br/>
        <w:br/>
        <w:t>29. Consider the following statements about Prabandha, Mahakavya and Champu traditions:</w:t>
        <w:br/>
        <w:t>1. Trivikrama Bhatta's Nalachampu is a Sanskrit champu composition combining prose and verse.</w:t>
        <w:br/>
        <w:t>2. Merutunga's Prabandha-Chintamani belongs to the prabandha tradition and is a source for medieval western Indian historical anecdotes.</w:t>
        <w:br/>
        <w:t>3. Bilhana's Vikramankadevacarita is treated as a mahakavya centered on the Western Chalukya ruler Vikramaditya VI.</w:t>
        <w:br/>
        <w:t>4. Sandhyakar Nandi's Ramacharita is a prabandha collection in the Jain narrative tradition.</w:t>
        <w:br/>
        <w:t>Which of the statements given above are correct?</w:t>
        <w:br/>
        <w:t>(1) 1 and 4 only</w:t>
        <w:br/>
        <w:t>(2) 1, 2 and 3 only</w:t>
        <w:br/>
        <w:t>(3) 1, 2, 3 and 4</w:t>
        <w:br/>
        <w:t>(4) 2 and 3 only</w:t>
        <w:br/>
        <w:t>Answer Key:  2</w:t>
        <w:br/>
        <w:t>Solution:</w:t>
        <w:br/>
        <w:t>The correct answer is 1, 2 and 3 only. Trivikrama Bhatta's Nalachampu is a classical Sanskrit champu text written in mixed prose and verse. Merutunga's Prabandha-Chintamani is a Sanskrit prabandha work important for medieval western Indian historical anecdotes, and Bilhana's Vikramankadevacarita is a mahakavya celebrating Vikramaditya VI. Sandhyakar Nandi's Ramacharita, however, is not a Jain prabandha collection.</w:t>
        <w:br/>
        <w:br/>
        <w:t>- 1 and 4 only is incorrect because statement 4 is false, and statements 2 and 3 are also correct.</w:t>
        <w:br/>
        <w:t>- 2 and 3 only is incorrect because statement 1 is also correct; Nalachampu is a recognized champu composition.</w:t>
        <w:br/>
        <w:t>- 1, 2, 3 and 4 is incorrect because statement 4 is false; Ramacharita is not a Jain prabandha anthology.</w:t>
        <w:br/>
        <w:br/>
        <w:t>Further Insights:</w:t>
        <w:br/>
        <w:t>- Champu literature is marked by the deliberate alternation of prose and verse.</w:t>
        <w:br/>
        <w:t>- Prabandha literature flourished especially among Jain scholars of western India and often preserves biographical or semi-historical narratives.</w:t>
        <w:br/>
        <w:t>- Mahakavya is the classical ornate court-epic form of Sanskrit literature, emphasizing style and elaborate description.</w:t>
        <w:br/>
        <w:t>- Bilhana was a Kashmiri poet who received patronage at the Western Chalukya court.</w:t>
        <w:br/>
        <w:t>- Hemachandra's Dvyashraya is another important champu work and is valuable for both literary and dynastic history.</w:t>
        <w:br/>
        <w:br/>
        <w:br/>
        <w:t>30. Arrange the following foreign visitors connected with descriptions of Indian society and culture in chronological order of their visits to India: A. Nicolo Conti B. Al-Masudi C. Duarte Barbosa D. Sulaiman.</w:t>
        <w:br/>
        <w:t>(1) D, B, A, C</w:t>
        <w:br/>
        <w:t>(2) D, A, B, C</w:t>
        <w:br/>
        <w:t>(3) B, D, C, A</w:t>
        <w:br/>
        <w:t>(4) B, D, A, C</w:t>
        <w:br/>
        <w:t>Answer Key:  1</w:t>
        <w:br/>
        <w:t>Solution:</w:t>
        <w:br/>
        <w:t>D, B, A, C is the correct sequence. Sulaiman was an early Arab merchant of the 9th century, and Al-Masudi belonged to the 10th century. Nicolo Conti visited India in the early 15th century, while Duarte Barbosa belongs to the early 16th century; hence the order is Sulaiman → Al-Masudi → Nicolo Conti → Duarte Barbosa.</w:t>
        <w:br/>
        <w:t>- B, D, A, C is incorrect because Al-Masudi came after Sulaiman.</w:t>
        <w:br/>
        <w:t>- D, A, B, C is incorrect because Nicolo Conti was much later than Al-Masudi.</w:t>
        <w:br/>
        <w:t>- B, D, C, A is incorrect because both the early and late pairs are misordered.</w:t>
        <w:br/>
        <w:t>Further Insights</w:t>
        <w:br/>
        <w:t>- Sulaiman is associated with early Arab commercial notices about India and the Indian Ocean world.</w:t>
        <w:br/>
        <w:t>- Al-Masudi's work Muruj al-Dhahab contains observations on Indian society, trade, and political life.</w:t>
        <w:br/>
        <w:t>- Nicolo Conti is an important source for 15th-century south India, especially the Vijayanagara world.</w:t>
        <w:br/>
        <w:t>- Duarte Barbosa described ports, customs, occupations, and social groups of coastal India in the early Portuguese period.</w:t>
        <w:br/>
        <w:br/>
        <w:br/>
        <w:t>31. Which inscription from present-day Karnataka, composed by Ravikirti, is a major source for the reign of Pulakeshin II?</w:t>
        <w:br/>
        <w:t>(1) Aihole inscription</w:t>
        <w:br/>
        <w:t>(2) Talagunda inscription</w:t>
        <w:br/>
        <w:t>(3) Badami cliff inscription</w:t>
        <w:br/>
        <w:t>(4) Halmidi inscription</w:t>
        <w:br/>
        <w:t>Answer Key:  1</w:t>
        <w:br/>
        <w:t>Solution:</w:t>
        <w:br/>
        <w:t>The correct answer is Aihole inscription. It was composed by Ravikirti and is one of the most important epigraphic sources for the reign of Pulakeshin II of the Early Western Chalukyas in Karnataka. Dated to 634 CE and found at the Meguti temple at Aihole, it is especially valuable for reconstructing the political history of the Deccan.</w:t>
        <w:br/>
        <w:t>- Halmidi inscription: It is famous mainly as one of the earliest known Kannada inscriptions.</w:t>
        <w:br/>
        <w:t>- Talagunda inscription: It is an important source for the early Kadamba dynasty of Karnataka.</w:t>
        <w:br/>
        <w:t>- Badami cliff inscription: It is linked with the Early Chalukyas but is chiefly associated with Mangalesha.</w:t>
        <w:br/>
        <w:t>Further Insights:</w:t>
        <w:br/>
        <w:t>- The Aihole inscription is dated in Saka era 556, corresponding to 634 CE.</w:t>
        <w:br/>
        <w:t>- It is located at the Meguti Jain temple in Aihole, Karnataka.</w:t>
        <w:br/>
        <w:t>- The inscription refers to Pulakeshin II's confrontation with Harshavardhana.</w:t>
        <w:br/>
        <w:t>- It is a major source for the chronology and achievements of the Early Western Chalukyas.</w:t>
        <w:br/>
        <w:br/>
        <w:br/>
        <w:t>32. Who was elected as the first Deputy Speaker of the Lok Sabha?</w:t>
        <w:br/>
        <w:t>(1) G. V. Mavalankar</w:t>
        <w:br/>
        <w:t>(2) Sardar Hukam Singh</w:t>
        <w:br/>
        <w:t>(3) K. S. Hegde</w:t>
        <w:br/>
        <w:t>(4) M. Ananthasayanam Ayyangar</w:t>
        <w:br/>
        <w:t>Answer Key:  4</w:t>
        <w:br/>
        <w:t>Solution:</w:t>
        <w:br/>
        <w:t>M. Ananthasayanam Ayyangar is the correct answer. He was elected as the first Deputy Speaker of the Lok Sabha in 1952 during the First Lok Sabha. He later succeeded G. V. Mavalankar and served as Speaker of the Lok Sabha as well.</w:t>
        <w:br/>
        <w:t>- G. V. Mavalankar was the first Speaker of the Lok Sabha, not the first Deputy Speaker.</w:t>
        <w:br/>
        <w:t>- Sardar Hukam Singh served as Speaker of the Lok Sabha from 1962 to 1967.</w:t>
        <w:br/>
        <w:t>- K. S. Hegde was Speaker of the Lok Sabha from 1977 to 1980.</w:t>
        <w:br/>
        <w:t>Further Insights:</w:t>
        <w:br/>
        <w:t>- Article 93 of the Constitution provides for the election of the Speaker and Deputy Speaker of the Lok Sabha.</w:t>
        <w:br/>
        <w:t>- The Speaker and Deputy Speaker are elected by the Lok Sabha from among its members.</w:t>
        <w:br/>
        <w:t>- The Deputy Speaker presides over the House in the absence of the Speaker.</w:t>
        <w:br/>
        <w:t>- The Deputy Speaker may be removed by a resolution passed by a majority of all the then members of the Lok Sabha.</w:t>
        <w:br/>
        <w:br/>
        <w:br/>
        <w:t>33. Avanti Bai Lodhi, a prominent woman leader of the Revolt of 1857, was associated with which estate?</w:t>
        <w:br/>
        <w:t>(1) Ramgarh</w:t>
        <w:br/>
        <w:t>(2) Kittur</w:t>
        <w:br/>
        <w:t>(3) Sambalpur</w:t>
        <w:br/>
        <w:t>(4) Jhansi</w:t>
        <w:br/>
        <w:t>Answer Key:  1</w:t>
        <w:br/>
        <w:t>Solution:</w:t>
        <w:br/>
        <w:t>Ramgarh is correct. Avanti Bai Lodhi was the queen-regent of Ramgarh estate in the Mandla region of present-day Madhya Pradesh and emerged as an important woman leader in the Revolt of 1857. Her resistance was closely connected with British interference in the administration of Ramgarh.</w:t>
        <w:br/>
        <w:br/>
        <w:t>- Kittur was associated with Rani Chennamma, who led an anti-British uprising in 1824 in present-day Karnataka.</w:t>
        <w:br/>
        <w:t>- Jhansi was the principal centre associated with Rani Lakshmibai during the Revolt of 1857.</w:t>
        <w:br/>
        <w:t>- Sambalpur is chiefly linked with Surendra Sai, an important regional resistance leader from Odisha.</w:t>
        <w:br/>
        <w:br/>
        <w:t>Further Insights:</w:t>
        <w:br/>
        <w:t>- Ramgarh had been placed under the British Court of Wards before the uprising.</w:t>
        <w:br/>
        <w:t>- Avanti Bai Lodhi is remembered as one of the major women leaders of the 1857 revolt in central India.</w:t>
        <w:br/>
        <w:t>- Begum Hazrat Mahal is another important woman leader of 1857 and is associated with Awadh-Lucknow.</w:t>
        <w:br/>
        <w:t>- Rani Chennamma of Kittur belongs to an earlier phase of anti-British resistance than the Revolt of 1857.</w:t>
        <w:br/>
        <w:br/>
        <w:br/>
        <w:t>34. Which Viceroy issued the 1882 Resolution on Local Self-Government, a landmark in the growth of municipalities in British India?</w:t>
        <w:br/>
        <w:t>(1) Lord Dufferin</w:t>
        <w:br/>
        <w:t>(2) Lord Lytton</w:t>
        <w:br/>
        <w:t>(3) Lord Curzon</w:t>
        <w:br/>
        <w:t>(4) Lord Ripon</w:t>
        <w:br/>
        <w:t>Answer Key:  4</w:t>
        <w:br/>
        <w:t>Solution:</w:t>
        <w:br/>
        <w:t>Lord Ripon is the correct answer. The 1882 Resolution on Local Self-Government was issued during Lord Ripon's viceroyalty and is regarded as a major landmark in the development of municipal institutions in British India. It encouraged larger roles for local bodies and greater participation of elected non-official members, which is why Ripon is often called the father of local self-government in India.</w:t>
        <w:br/>
        <w:br/>
        <w:t>- Lord Lytton: He is mainly associated with repressive imperial policies such as the Vernacular Press Act of 1878, not the 1882 local self-government resolution.</w:t>
        <w:br/>
        <w:t>- Lord Dufferin: He was Ripon's successor, but the famous 1882 municipal reform was not issued under him.</w:t>
        <w:br/>
        <w:t>- Lord Curzon: He is more often linked with administrative centralisation and with reducing representative control in some urban bodies, especially through the Calcutta Corporation changes.</w:t>
        <w:br/>
        <w:br/>
        <w:t>Further Insights:</w:t>
        <w:br/>
        <w:t>- Lord Ripon's 1882 resolution covered both municipalities and district boards.</w:t>
        <w:br/>
        <w:t>- The measure aimed to develop local administration as well as public political training.</w:t>
        <w:br/>
        <w:t>- Ripon's earlier liberal image was also strengthened by the repeal of the Vernacular Press Act.</w:t>
        <w:br/>
        <w:t>- Municipal institutions in presidency towns existed earlier, but Ripon's reform gave wider policy support to representative local bodies.</w:t>
        <w:br/>
        <w:br/>
        <w:br/>
        <w:t>35. Who composed the Sanskrit court epic Madura Vijayam, also known as Vira Kamparaya Charitam?</w:t>
        <w:br/>
        <w:t>(1) Gangadevi</w:t>
        <w:br/>
        <w:t>(2) Jayanaka</w:t>
        <w:br/>
        <w:t>(3) Bilhana</w:t>
        <w:br/>
        <w:t>(4) Sandhyakar Nandi</w:t>
        <w:br/>
        <w:t>Answer Key:  1</w:t>
        <w:br/>
        <w:t>Solution:</w:t>
        <w:br/>
        <w:t>Gangadevi is correct. Madura Vijayam, also known as Vira Kamparaya Charitam, is a Sanskrit work attributed to Gangadevi, who is traditionally identified as the wife of Kumara Kampana of the Vijayanagara Empire. The text is an important literary-historical source for the Vijayanagara campaign in the Tamil region and reflects courtly cultural patronage.</w:t>
        <w:br/>
        <w:br/>
        <w:t>- Jayanaka wrote Prithviraja Vijaya in praise of Prithviraj Chauhan.</w:t>
        <w:br/>
        <w:t>- Bilhana was the author of Vikramankadevacharita associated with Western Chalukya patronage.</w:t>
        <w:br/>
        <w:t>- Sandhyakar Nandi composed Ramacharitam, an important source linked to the Pala period.</w:t>
        <w:br/>
        <w:br/>
        <w:t>Further Insights:</w:t>
        <w:br/>
        <w:t>- Madura Vijayam is one of the notable Sanskrit historical poems of medieval South India.</w:t>
        <w:br/>
        <w:t>- The work describes Kumara Kampana's expedition against the Madurai Sultanate.</w:t>
        <w:br/>
        <w:t>- Kumara Kampana was a Vijayanagara prince and the son of Bukka I.</w:t>
        <w:br/>
        <w:t>- The text is useful both as literature and as a historical source for South Indian political history.</w:t>
        <w:br/>
        <w:t>- Vijayanagara rulers patronised multiple literary traditions, including Sanskrit, Telugu, Kannada and Tamil.</w:t>
        <w:br/>
        <w:br/>
        <w:br/>
        <w:t>36. Which Brahmo Samaj leader founded the Indian Reform Association in 1870 to promote social reform measures such as female education and temperance?</w:t>
        <w:br/>
        <w:t>(1) Raja Rammohan Roy</w:t>
        <w:br/>
        <w:t>(2) Anand Mohan Bose</w:t>
        <w:br/>
        <w:t>(3) Debendranath Tagore</w:t>
        <w:br/>
        <w:t>(4) Keshab Chandra Sen</w:t>
        <w:br/>
        <w:t>Answer Key:  4</w:t>
        <w:br/>
        <w:t>Solution:</w:t>
        <w:br/>
        <w:t>Keshab Chandra Sen is the correct answer. He founded the Indian Reform Association in 1870 after becoming a prominent leader of the Brahmo movement. The association aimed at practical social reform and worked in areas such as female education, temperance, cheap literature and charitable efforts.</w:t>
        <w:br/>
        <w:br/>
        <w:t>- Raja Rammohan Roy founded the Brahmo Sabha in 1828 and is regarded as the pioneer of the Brahmo movement.</w:t>
        <w:br/>
        <w:t>- Debendranath Tagore revitalized the movement in the 1840s and became associated with the Adi Brahmo Samaj.</w:t>
        <w:br/>
        <w:t>- Anand Mohan Bose was one of the important figures connected with the formation of the Sadharan Brahmo Samaj in 1878.</w:t>
        <w:br/>
        <w:br/>
        <w:t>Further Insights:</w:t>
        <w:br/>
        <w:t>- Brahmo Sabha was founded in Calcutta in 1828 and later came to be known as the Brahmo Samaj.</w:t>
        <w:br/>
        <w:t>- Debendranath Tagore was closely associated with the Tattwabodhini Sabha, which helped spread Brahmo ideas.</w:t>
        <w:br/>
        <w:t>- Keshab Chandra Sen joined the Brahmo Samaj in 1858 and later led the Brahmo Samaj of India.</w:t>
        <w:br/>
        <w:t>- Differences over social reform and organizational control led to splits within the Brahmo movement in the 19th century.</w:t>
        <w:br/>
        <w:t>- Act III of 1872, often called the Brahmo Marriage Act, was linked to reform demands emerging from this broader movement.</w:t>
        <w:br/>
        <w:br/>
        <w:br/>
        <w:t>37. Consider the following statements about leaders of labour and peasant mobilisation in modern India:</w:t>
        <w:br/>
        <w:t>1. B.P. Wadia founded the Madras Labour Union in 1918.</w:t>
        <w:br/>
        <w:t>2. Singaravelu Chettiar founded the Labour Kisan Party of Hindustan in 1923.</w:t>
        <w:br/>
        <w:t>3. Swami Sahajanand Saraswati became the founding president of the All India Kisan Sabha in 1936.</w:t>
        <w:br/>
        <w:t>4. Baba Ramchandra was associated with the formation of the Oudh Kisan Sabha in 1921.</w:t>
        <w:br/>
        <w:t>Which of the statements given above are correct?</w:t>
        <w:br/>
        <w:t>(1) 1, 2 and 3 only</w:t>
        <w:br/>
        <w:t>(2) 1, 2, 3 and 4</w:t>
        <w:br/>
        <w:t>(3) 2, 3 and 4 only</w:t>
        <w:br/>
        <w:t>(4) 1 and 4 only</w:t>
        <w:br/>
        <w:t>Answer Key:  1</w:t>
        <w:br/>
        <w:t>Solution:</w:t>
        <w:br/>
        <w:t>Option 2 is correct. B.P. Wadia founded the Madras Labour Union in 1918, and Singaravelu Chettiar founded the Labour Kisan Party of Hindustan in 1923. Swami Sahajanand Saraswati was the founding president of the All India Kisan Sabha in 1936, whereas the Oudh Kisan Sabha belongs to 1920, not 1921, so statement 4 is incorrect.</w:t>
        <w:br/>
        <w:t>- Option 1 is incorrect because statements 2 and 3 are also correctly matched with their years.</w:t>
        <w:br/>
        <w:t>- Option 3 is incorrect because statement 4 is wrongly matched; the Oudh Kisan Sabha was formed in 1920.</w:t>
        <w:br/>
        <w:t>- Option 4 is incorrect because all four statements are not correct; statement 4 carries the wrong year.</w:t>
        <w:br/>
        <w:t>Further Insights:</w:t>
        <w:br/>
        <w:t>- The Madras Labour Union, founded in 1918, is counted among the earliest organised trade unions in India.</w:t>
        <w:br/>
        <w:t>- Singaravelu Chettiar was an important pioneer of labour politics in Madras and is also associated with early May Day observances in India.</w:t>
        <w:br/>
        <w:t>- The All India Kisan Sabha was formed at Lucknow in April 1936 and became a major peasant organisation in late colonial India.</w:t>
        <w:br/>
        <w:t>- Baba Ramchandra was a prominent peasant leader in Awadh and became associated with tenant mobilisation against taluqdari oppression.</w:t>
        <w:br/>
        <w:br/>
        <w:br/>
        <w:t>38. One of the following names is not associated with the India House circle in London; identify that person.</w:t>
        <w:br/>
        <w:t>(1) Madan Lal Dhingra</w:t>
        <w:br/>
        <w:t>(2) Vinayak Damodar Savarkar</w:t>
        <w:br/>
        <w:t>(3) Shyamji Krishna Varma</w:t>
        <w:br/>
        <w:t>(4) Rash Behari Bose</w:t>
        <w:br/>
        <w:t>Answer Key:  4</w:t>
        <w:br/>
        <w:t>Solution:</w:t>
        <w:br/>
        <w:t>The correct answer is Rash Behari Bose. He was mainly linked with revolutionary activity in North India, including the Delhi conspiracy case, and later operated from Japan in support of the anti-British cause. India House in London, by contrast, was associated with expatriate revolutionaries such as Shyamji Krishna Varma, Vinayak Damodar Savarkar and Madan Lal Dhingra.</w:t>
        <w:br/>
        <w:br/>
        <w:t>- Shyamji Krishna Varma founded India House at Highgate, London in 1905.</w:t>
        <w:br/>
        <w:t>- Vinayak Damodar Savarkar lived at India House and played a major ideological role in its revolutionary politics.</w:t>
        <w:br/>
        <w:t>- Madan Lal Dhingra belonged to the India House circle and assassinated Curzon Wyllie in London in 1909.</w:t>
        <w:br/>
        <w:br/>
        <w:t>Further Insights:</w:t>
        <w:br/>
        <w:t>- India House became an important centre of Indian revolutionary nationalism outside India.</w:t>
        <w:br/>
        <w:t>- Shyamji Krishna Varma also published the journal The Indian Sociologist.</w:t>
        <w:br/>
        <w:t>- Rash Behari Bose later became a key link between Indian revolutionaries and nationalist activity in Japan.</w:t>
        <w:br/>
        <w:t>- His later efforts helped prepare the ground for the Indian Independence League and the rise of the INA in East Asia.</w:t>
        <w:br/>
        <w:br/>
        <w:br/>
        <w:t>39. Who was the Secretary of State for India who issued the August Declaration of 1917?</w:t>
        <w:br/>
        <w:t>(1) Lord Chelmsford</w:t>
        <w:br/>
        <w:t>(2) John Morley</w:t>
        <w:br/>
        <w:t>(3) Edwin Samuel Montagu</w:t>
        <w:br/>
        <w:t>(4) Lord Minto II</w:t>
        <w:br/>
        <w:t>Answer Key:  3</w:t>
        <w:br/>
        <w:t>Solution:</w:t>
        <w:br/>
        <w:t>Edwin Samuel Montagu was the Secretary of State for India who issued the August Declaration on 20 August 1917. The declaration announced the policy of gradually increasing Indian association in every branch of administration and became the basis of the Montagu-Chelmsford Reforms leading to the Government of India Act, 1919.</w:t>
        <w:br/>
        <w:br/>
        <w:t>- John Morley was Secretary of State for India during the Morley-Minto reforms that resulted in the Indian Councils Act, 1909.</w:t>
        <w:br/>
        <w:t>- Lord Minto II was the Viceroy of India associated with the 1909 reforms, not the 1917 declaration.</w:t>
        <w:br/>
        <w:t>- Lord Chelmsford was the Viceroy of India during the framing of the later reforms, whereas the question asks for the Secretary of State.</w:t>
        <w:br/>
        <w:br/>
        <w:t>Further Insights</w:t>
        <w:br/>
        <w:t>- The August Declaration was issued on 20 August 1917.</w:t>
        <w:br/>
        <w:t>- Edwin Montagu became Secretary of State for India in 1917.</w:t>
        <w:br/>
        <w:t>- The Montagu-Chelmsford Report was published in 1918.</w:t>
        <w:br/>
        <w:t>- The Government of India Act, 1919 introduced dyarchy in the provinces.</w:t>
        <w:br/>
        <w:t>- Separate electorates had already been introduced earlier under the Indian Councils Act, 1909.</w:t>
        <w:br/>
        <w:br/>
        <w:br/>
        <w:t>40. The Constitution gives the Attorney General of India the right to speak and participate in parliamentary proceedings under which Article?</w:t>
        <w:br/>
        <w:t>(1) Article 76</w:t>
        <w:br/>
        <w:t>(2) Article 78</w:t>
        <w:br/>
        <w:t>(3) Article 105</w:t>
        <w:br/>
        <w:t>(4) Article 88</w:t>
        <w:br/>
        <w:t>Answer Key:  4</w:t>
        <w:br/>
        <w:t>Solution:</w:t>
        <w:br/>
        <w:t>Article 88 is the correct answer. It provides that the Attorney General of India has the right to speak and take part in the proceedings of both Houses of Parliament, their joint sittings, and parliamentary committees of which he may be named a member, though he has no right to vote. The office of the Attorney General itself is created under Article 76, which is why Article 88 is a frequently tested constitutional detail.</w:t>
        <w:br/>
        <w:t>- Article 76: It deals with the appointment, qualifications, duties, and status of the Attorney General of India.</w:t>
        <w:br/>
        <w:t>- Article 78: It lays down the duties of the Prime Minister regarding communication of Cabinet decisions and information to the President.</w:t>
        <w:br/>
        <w:t>- Article 105: It concerns the powers, privileges, and immunities of Parliament, its members, and committees.</w:t>
        <w:br/>
        <w:t>Further Insights:</w:t>
        <w:br/>
        <w:t>- The Attorney General of India is the highest law officer of the Union Government.</w:t>
        <w:br/>
        <w:t>- He is appointed by the President and must be qualified to be appointed a judge of the Supreme Court.</w:t>
        <w:br/>
        <w:t>- He has the right of audience in all courts within the territory of India.</w:t>
        <w:br/>
        <w:t>- The Constitution does not prescribe a fixed tenure for the Attorney General.</w:t>
        <w:br/>
        <w:br/>
        <w:br/>
        <w:t>41. In Tamil Nadu, the reserved election symbol "Two Leaves" belongs to which recognized political party?</w:t>
        <w:br/>
        <w:t>(1) Desiya Murpokku Dravida Kazhagam (DMDK)</w:t>
        <w:br/>
        <w:t>(2) Pattali Makkal Katchi (PMK)</w:t>
        <w:br/>
        <w:t>(3) Dravida Munnetra Kazhagam (DMK)</w:t>
        <w:br/>
        <w:t>(4) All India Anna Dravida Munnetra Kazhagam (AIADMK)</w:t>
        <w:br/>
        <w:t>Answer Key:  4</w:t>
        <w:br/>
        <w:t>Solution:</w:t>
        <w:br/>
        <w:t>All India Anna Dravida Munnetra Kazhagam (AIADMK) is correct. The Election Commission of India allots the reserved election symbol Two Leaves to AIADMK, a recognized political party in Tamil Nadu. Reserved symbols are exclusively allotted to recognized national or state parties under the Election Symbols (Reservation and Allotment) Order, 1968.</w:t>
        <w:br/>
        <w:t>- Dravida Munnetra Kazhagam (DMK) uses the reserved symbol Rising Sun.</w:t>
        <w:br/>
        <w:t>- Pattali Makkal Katchi (PMK) uses the reserved symbol Mango.</w:t>
        <w:br/>
        <w:t>- Desiya Murpokku Dravida Kazhagam (DMDK) uses the reserved symbol Nagara.</w:t>
        <w:br/>
        <w:t>Further Insights:</w:t>
        <w:br/>
        <w:t>- A reserved symbol is exclusively allotted to a recognized national party or state party.</w:t>
        <w:br/>
        <w:t>- Free symbols are available to registered unrecognized parties and independent candidates, subject to allotment rules.</w:t>
        <w:br/>
        <w:t>- The Election Commission regulates party symbols through the Election Symbols (Reservation and Allotment) Order, 1968.</w:t>
        <w:br/>
        <w:t>- Recognition as a state party or national party gives a party the benefit of an exclusive election symbol.</w:t>
        <w:br/>
        <w:br/>
        <w:br/>
        <w:t>42. Which British-era constitutional act created a bicameral legislature at the Centre by establishing the Council of State and the Legislative Assembly in British India?</w:t>
        <w:br/>
        <w:t>(1) Government of India Act, 1935</w:t>
        <w:br/>
        <w:t>(2) Government of India Act, 1919</w:t>
        <w:br/>
        <w:t>(3) Indian Councils Act, 1861</w:t>
        <w:br/>
        <w:t>(4) Indian Councils Act, 1909</w:t>
        <w:br/>
        <w:t>Answer Key:  2</w:t>
        <w:br/>
        <w:t>Solution:</w:t>
        <w:br/>
        <w:t>Government of India Act, 1919 is the correct answer. The Montagu-Chelmsford Reforms embodied in this Act introduced bicameralism at the Centre in British India. It created the Council of State as the upper house and the Legislative Assembly as the lower house, marking a major stage in the evolution of parliamentary representation.</w:t>
        <w:br/>
        <w:br/>
        <w:t>- Indian Councils Act, 1861: It expanded legislative councils, but did not establish a bicameral central legislature.</w:t>
        <w:br/>
        <w:t>- Indian Councils Act, 1909: It introduced separate electorates for Muslims and enlarged councils, but the central legislature was still not bicameral.</w:t>
        <w:br/>
        <w:t>- Government of India Act, 1935: It proposed a federal legislature under an all-India federation, but that federal scheme did not come fully into operation.</w:t>
        <w:br/>
        <w:br/>
        <w:t>Further Insights:</w:t>
        <w:br/>
        <w:t>- The Government of India Act, 1919 is also known for introducing dyarchy in the provinces.</w:t>
        <w:br/>
        <w:t>- The Montagu Declaration of 1917 provided the policy background for the 1919 reforms.</w:t>
        <w:br/>
        <w:t>- The Council of State functioned as the upper chamber in the central legislature under this Act.</w:t>
        <w:br/>
        <w:t>- The Simon Commission was appointed in 1927 to review the working of the 1919 constitutional reforms.</w:t>
        <w:br/>
        <w:br/>
        <w:br/>
        <w:t>43. Which writ is issued by a superior court to prevent a lower court or tribunal from proceeding in a matter beyond its jurisdiction?</w:t>
        <w:br/>
        <w:t>(1) Mandamus</w:t>
        <w:br/>
        <w:t>(2) Certiorari</w:t>
        <w:br/>
        <w:t>(3) Prohibition</w:t>
        <w:br/>
        <w:t>(4) Habeas Corpus</w:t>
        <w:br/>
        <w:t>Answer Key:  3</w:t>
        <w:br/>
        <w:t>Solution:</w:t>
        <w:br/>
        <w:t>The correct answer is Prohibition. This writ is issued by a superior court to a lower court, tribunal, or quasi-judicial authority to stop it from continuing proceedings when it is acting without jurisdiction or beyond its lawful powers. It is preventive in nature, which distinguishes it from Certiorari.</w:t>
        <w:br/>
        <w:br/>
        <w:t>- Certiorari: It is used to quash an order or decision already made by a lower court, tribunal, or quasi-judicial body.</w:t>
        <w:br/>
        <w:t>- Habeas Corpus: It is issued to produce a detained person before the court and examine the legality of detention.</w:t>
        <w:br/>
        <w:t>- Mandamus: It directs a public authority to perform a public or statutory duty that it has failed to perform.</w:t>
        <w:br/>
        <w:br/>
        <w:t>Further Insights:</w:t>
        <w:br/>
        <w:t>- The Supreme Court can issue writs under Article 32 of the Constitution.</w:t>
        <w:br/>
        <w:t>- High Courts can issue writs under Article 226, which is wider in scope than Article 32.</w:t>
        <w:br/>
        <w:t>- Prohibition and Certiorari are the two writs most directly associated with control over judicial and quasi-judicial bodies.</w:t>
        <w:br/>
        <w:t>- Prohibition is issued before the final order, while Certiorari is usually issued after the order has been passed.</w:t>
        <w:br/>
        <w:br/>
        <w:br/>
        <w:t>44. Under the framework introduced by the 73rd Constitutional Amendment, if a Panchayat is dissolved before completing its normal term, the election to reconstitute it must ordinarily be completed within how many months from the date of dissolution?</w:t>
        <w:br/>
        <w:t>(1) 3 months</w:t>
        <w:br/>
        <w:t>(2) 4 months</w:t>
        <w:br/>
        <w:t>(3) 12 months</w:t>
        <w:br/>
        <w:t>(4) 6 months</w:t>
        <w:br/>
        <w:t>Answer Key:  4</w:t>
        <w:br/>
        <w:t>Solution:</w:t>
        <w:br/>
        <w:t>The correct answer is 6 months. Article 243E of the Constitution, inserted as part of the 73rd Constitutional Amendment framework, fixes the duration of every Panchayat at five years unless it is sooner dissolved. If it is dissolved earlier, the election to reconstitute the Panchayat must be completed before the expiry of six months from the date of dissolution, except where the remainder of the term is less than six months.</w:t>
        <w:br/>
        <w:br/>
        <w:t>- 3 months: The Constitution does not fix a 3-month deadline for reconstitution of a dissolved Panchayat.</w:t>
        <w:br/>
        <w:t>- 4 months: No such 4-month period is mentioned in Article 243E.</w:t>
        <w:br/>
        <w:t>- 12 months: This is too long and is contrary to the constitutional requirement of timely local-body re-election.</w:t>
        <w:br/>
        <w:br/>
        <w:t>Further Insights:</w:t>
        <w:br/>
        <w:t>- The 73rd Constitutional Amendment Act gave constitutional status to Panchayats.</w:t>
        <w:br/>
        <w:t>- The normal tenure of a Panchayat is five years from the date appointed for its first meeting.</w:t>
        <w:br/>
        <w:t>- Elections to Panchayats are supervised by the State Election Commission under Article 243K.</w:t>
        <w:br/>
        <w:t>- A Panchayat reconstituted after premature dissolution serves only the remainder of the original term.</w:t>
        <w:br/>
        <w:br/>
        <w:br/>
        <w:t>45. In the context of agricultural credit in India, which of the following is NOT an institutional source of rural credit?</w:t>
        <w:br/>
        <w:t>(1) Regional Rural Banks</w:t>
        <w:br/>
        <w:t>(2) Moneylenders</w:t>
        <w:br/>
        <w:t>(3) Commercial banks</w:t>
        <w:br/>
        <w:t>(4) Cooperative credit societies</w:t>
        <w:br/>
        <w:t>Answer Key:  2</w:t>
        <w:br/>
        <w:t>Solution:</w:t>
        <w:br/>
        <w:t>Moneylenders are not an institutional source of rural credit in India. They belong to the non-institutional or informal credit sector, whereas banks and cooperative credit bodies are part of the formal institutional framework for agricultural lending.</w:t>
        <w:br/>
        <w:br/>
        <w:t>- Regional Rural Banks: These were established to expand banking and credit access in rural areas and are institutional lenders.</w:t>
        <w:br/>
        <w:t>- Cooperative credit societies: These are organized cooperative institutions that provide rural and agricultural credit, especially at the local level.</w:t>
        <w:br/>
        <w:t>- Commercial banks: These are formal financial institutions that extend agricultural loans, including crop and term loans.</w:t>
        <w:br/>
        <w:br/>
        <w:t>Further Insights:</w:t>
        <w:br/>
        <w:t>- Institutional rural credit in India mainly comes from commercial banks, cooperative institutions, and Regional Rural Banks.</w:t>
        <w:br/>
        <w:t>- Non-institutional rural credit sources include moneylenders, landlords, traders, relatives, and commission agents.</w:t>
        <w:br/>
        <w:t>- Reducing dependence on moneylenders has long been an important objective of rural credit policy in India.</w:t>
        <w:br/>
        <w:t>- The Kisan Credit Card scheme was introduced to provide timely and flexible credit to farmers.</w:t>
        <w:br/>
        <w:t>- NABARD plays a major role in supporting and refinancing rural credit institutions in India.</w:t>
        <w:br/>
        <w:br/>
        <w:br/>
        <w:t>46. In WTO terminology, Special and Differential Treatment provisions mainly provide what to developing and least-developed members?</w:t>
        <w:br/>
        <w:t>(1) Emergency import curbs during sudden import surges</w:t>
        <w:br/>
        <w:t>(2) Bound tariff ceilings listed in schedules</w:t>
        <w:br/>
        <w:t>(3) Longer implementation periods and other flexibilities</w:t>
        <w:br/>
        <w:t>(4) Equal tariff treatment for all members under MFN</w:t>
        <w:br/>
        <w:t>Answer Key:  3</w:t>
        <w:br/>
        <w:t>Solution:</w:t>
        <w:br/>
        <w:t>Longer implementation periods and other flexibilities is correct. In the WTO, Special and Differential Treatment provisions are meant mainly for developing and least-developed country members. These provisions commonly include longer time to implement agreements, technical assistance, and flexibility in undertaking commitments.</w:t>
        <w:br/>
        <w:t>- Equal tariff treatment for all members under MFN refers to the Most-Favoured-Nation principle of non-discrimination, not S&amp;DT.</w:t>
        <w:br/>
        <w:t>- Emergency import curbs during sudden import surges describes safeguard measures under WTO rules.</w:t>
        <w:br/>
        <w:t>- Bound tariff ceilings listed in schedules refers to tariff bindings, which are members' maximum committed tariff rates.</w:t>
        <w:br/>
        <w:t>Further Insights:</w:t>
        <w:br/>
        <w:t>- Special and Differential Treatment provisions are spread across multiple WTO agreements rather than confined to a single standalone agreement.</w:t>
        <w:br/>
        <w:t>- Least-developed countries usually receive wider flexibilities than other developing countries.</w:t>
        <w:br/>
        <w:t>- S&amp;DT may include transition periods, technical cooperation, and measures intended to improve trading opportunities.</w:t>
        <w:br/>
        <w:t>- The scope and reform of S&amp;DT remains a recurring issue in WTO negotiations, especially over who should qualify for such flexibilities.</w:t>
        <w:br/>
        <w:br/>
        <w:br/>
        <w:t>47. Who is generally credited with making the earliest poverty-line estimate for India in his 1901 work Poverty and Un-British Rule in India?</w:t>
        <w:br/>
        <w:t>(1) Y.K. Alagh</w:t>
        <w:br/>
        <w:t>(2) Dadabhai Naoroji</w:t>
        <w:br/>
        <w:t>(3) Dandekar and Rath</w:t>
        <w:br/>
        <w:t>(4) V.K.R.V. Rao</w:t>
        <w:br/>
        <w:t>Answer Key:  2</w:t>
        <w:br/>
        <w:t>Solution:</w:t>
        <w:br/>
        <w:t>Dadabhai Naoroji is correct. In his 1901 book Poverty and Un-British Rule in India, he is widely credited with making one of the earliest systematic attempts to estimate poverty in India. His work connected low living standards in India with colonial economic exploitation and became an important starting point in the history of Indian poverty estimation.</w:t>
        <w:br/>
        <w:br/>
        <w:t>- V.K.R.V. Rao gave later post-Independence estimates related to poverty and national income, not the earliest poverty-line estimate.</w:t>
        <w:br/>
        <w:t>- Dandekar and Rath are known for their influential 1971 poverty study based on calorie norms.</w:t>
        <w:br/>
        <w:t>- Y.K. Alagh chaired the 1979 Task Force whose recommendations shaped later official poverty-line methodology.</w:t>
        <w:br/>
        <w:br/>
        <w:t>Further Insights:</w:t>
        <w:br/>
        <w:t>- The 1962 Working Group is often cited as an early official attempt to define minimum consumption for poverty estimation in India.</w:t>
        <w:br/>
        <w:t>- The Alagh Task Force of 1979 linked poverty lines to calorie norms with separate rural and urban baskets.</w:t>
        <w:br/>
        <w:t>- The Lakdawala Committee later recommended state-specific poverty lines updated through consumer price indices.</w:t>
        <w:br/>
        <w:t>- The Tendulkar Committee moved away from strict calorie anchoring and broadened the consumption approach.</w:t>
        <w:br/>
        <w:t>- The Rangarajan Committee later suggested a higher poverty line than the Tendulkar methodology.</w:t>
        <w:br/>
        <w:br/>
        <w:br/>
        <w:t>48. Reserve money is commonly known as which of the following?</w:t>
        <w:br/>
        <w:t>(1) Broad money</w:t>
        <w:br/>
        <w:t>(2) Narrow money</w:t>
        <w:br/>
        <w:t>(3) Call money</w:t>
        <w:br/>
        <w:t>(4) High-powered money</w:t>
        <w:br/>
        <w:t>Answer Key:  4</w:t>
        <w:br/>
        <w:t>Solution:</w:t>
        <w:br/>
        <w:t>High-powered money is another name for reserve money, also called the monetary base. It consists mainly of currency in circulation and reserves held by banks with the central bank, so it forms the base for credit creation in the economy. In India, reserve money is an important monetary aggregate compiled by the RBI.</w:t>
        <w:br/>
        <w:br/>
        <w:t>- Narrow money generally refers to M1, which includes currency with the public and demand deposits.</w:t>
        <w:br/>
        <w:t>- Broad money generally refers to M3 in India and includes time deposits along with narrower money components.</w:t>
        <w:br/>
        <w:t>- Call money is overnight or very short-term money traded between banks in the money market.</w:t>
        <w:br/>
        <w:br/>
        <w:t>Further Insights:</w:t>
        <w:br/>
        <w:t>- Reserve money is often denoted by M0.</w:t>
        <w:br/>
        <w:t>- It is called high-powered because a change in it can produce a multiplied change in total money supply.</w:t>
        <w:br/>
        <w:t>- The RBI is the monetary authority that controls reserve money in India.</w:t>
        <w:br/>
        <w:t>- Bankers' deposits with the RBI form a component of reserve money.</w:t>
        <w:br/>
        <w:br/>
        <w:br/>
        <w:t>49. In seismology, the P-wave shadow zone is generally observed between which angular distances from an earthquake epicentre?</w:t>
        <w:br/>
        <w:t>(1) 60°-103°</w:t>
        <w:br/>
        <w:t>(2) 142°-180°</w:t>
        <w:br/>
        <w:t>(3) 103°-142°</w:t>
        <w:br/>
        <w:t>(4) 0°-60°</w:t>
        <w:br/>
        <w:t>Answer Key:  3</w:t>
        <w:br/>
        <w:t>Solution:</w:t>
        <w:br/>
        <w:t>103°-142° is correct. P-waves are sharply refracted at the boundary between the mantle and the liquid outer core because wave velocity changes significantly there. Due to this bending, direct P-waves are not recorded in the belt roughly between 103° and 142° from the earthquake epicentre, creating the P-wave shadow zone.</w:t>
        <w:br/>
        <w:t>- 0°-60°: Direct P-waves are normally detected in this nearer angular range, so it is not a shadow zone.</w:t>
        <w:br/>
        <w:t>- 60°-103°: Seismic stations in this interval still receive direct P-waves before the shadow belt begins.</w:t>
        <w:br/>
        <w:t>- 142°-180°: P-waves reappear beyond about 142° after refraction through deeper Earth layers.</w:t>
        <w:br/>
        <w:t>Further Insights:</w:t>
        <w:br/>
        <w:t>- S-waves cannot travel through the liquid outer core.</w:t>
        <w:br/>
        <w:t>- The S-wave shadow zone extends from about 103° to 180°.</w:t>
        <w:br/>
        <w:t>- Seismic shadow zones provided major evidence that the Earth's outer core is liquid.</w:t>
        <w:br/>
        <w:t>- P-waves can pass through solids and liquids, whereas S-waves travel only through solids.</w:t>
        <w:br/>
        <w:br/>
        <w:br/>
        <w:t>50. Which state is the leading producer of coffee in India?</w:t>
        <w:br/>
        <w:t>(1) Karnataka</w:t>
        <w:br/>
        <w:t>(2) Tamil Nadu</w:t>
        <w:br/>
        <w:t>(3) Andhra Pradesh</w:t>
        <w:br/>
        <w:t>(4) Kerala</w:t>
        <w:br/>
        <w:t>Answer Key:  1</w:t>
        <w:br/>
        <w:t>Solution:</w:t>
        <w:br/>
        <w:t>Karnataka is the correct answer. Karnataka is the leading coffee-producing state in India and contributes the largest share of the country's total coffee output. Its major coffee-growing districts include Kodagu, Chikkamagaluru and Hassan, which together form the core of India's coffee belt.</w:t>
        <w:br/>
        <w:t>- Kerala is an important coffee-producing state, with Wayanad being its main coffee-growing district.</w:t>
        <w:br/>
        <w:t>- Tamil Nadu grows coffee mainly in the Nilgiris, Yercaud and Pulneys, but its output is below Karnataka's.</w:t>
        <w:br/>
        <w:t>- Andhra Pradesh is known for coffee cultivation in the Araku Valley, especially tribal and specialty coffee.</w:t>
        <w:br/>
        <w:t>Further Insights:</w:t>
        <w:br/>
        <w:t>- India mainly produces two commercial varieties of coffee: Arabica and Robusta.</w:t>
        <w:br/>
        <w:t>- Coffee cultivation in India is traditionally linked to the Baba Budan Hills in present-day Karnataka.</w:t>
        <w:br/>
        <w:t>- The Coffee Board of India is headquartered in Bengaluru.</w:t>
        <w:br/>
        <w:t>- Indian coffee is widely known for being shade-grown rather than plantation-grown in open sun.</w:t>
        <w:br/>
        <w:br/>
        <w:br/>
        <w:t>51. Varuna, Kranti and Pusa Bold are varieties of which crop?</w:t>
        <w:br/>
        <w:t>(1) Wheat</w:t>
        <w:br/>
        <w:t>(2) Groundnut</w:t>
        <w:br/>
        <w:t>(3) Mustard</w:t>
        <w:br/>
        <w:t>(4) Cotton</w:t>
        <w:br/>
        <w:t>Answer Key:  3</w:t>
        <w:br/>
        <w:t>Solution:</w:t>
        <w:br/>
        <w:t>Mustard is the correct answer. Varuna, Kranti and Pusa Bold are well-known varieties of Indian mustard grown in different agro-climatic regions of the country. Mustard is an important rabi oilseed crop and forms a major part of India’s rapeseed-mustard production.</w:t>
        <w:br/>
        <w:t>- Wheat: Important wheat varieties include Kalyan Sona, Sonalika and HD-series cultivars.</w:t>
        <w:br/>
        <w:t>- Cotton: Cotton is associated with varieties such as MCU-5, Suvin and DCH-32.</w:t>
        <w:br/>
        <w:t>- Groundnut: Groundnut varieties commonly include JL-24, GG-2 and TMV-2.</w:t>
        <w:br/>
        <w:t>Further Insights:</w:t>
        <w:br/>
        <w:t>- Rajasthan is the leading producer of rapeseed-mustard in India.</w:t>
        <w:br/>
        <w:t>- Mustard is mainly a rabi season crop sown in winter.</w:t>
        <w:br/>
        <w:t>- Rapeseed-mustard is an important source of edible oil in India.</w:t>
        <w:br/>
        <w:t>- One or two irrigations at critical stages can significantly improve mustard yield.</w:t>
        <w:br/>
        <w:br/>
        <w:br/>
        <w:t>52. The Arabari experiment, an early landmark in participatory afforestation that later influenced social forestry and Joint Forest Management in India, was conducted in which state?</w:t>
        <w:br/>
        <w:t>(1) Rajasthan</w:t>
        <w:br/>
        <w:t>(2) West Bengal</w:t>
        <w:br/>
        <w:t>(3) Gujarat</w:t>
        <w:br/>
        <w:t>(4) Haryana</w:t>
        <w:br/>
        <w:t>Answer Key:  2</w:t>
        <w:br/>
        <w:t>Solution:</w:t>
        <w:br/>
        <w:t>West Bengal is correct. The Arabari experiment was carried out in the Arabari forest range of Midnapore in West Bengal in the early 1970s. It is widely cited as an important precursor to participatory afforestation and later Joint Forest Management in India.</w:t>
        <w:br/>
        <w:br/>
        <w:t>- Gujarat: Gujarat has important social forestry and dryland plantation programmes, but Arabari is not in this state.</w:t>
        <w:br/>
        <w:t>- Haryana: Haryana became notable for farm forestry on private lands, especially with fast-growing tree species, but the Arabari experiment was not conducted there.</w:t>
        <w:br/>
        <w:t>- Rajasthan: Rajasthan is known for desert afforestation and canal-area plantations, not for the Arabari model.</w:t>
        <w:br/>
        <w:br/>
        <w:t>Further Insights:</w:t>
        <w:br/>
        <w:t>- Social forestry focuses on raising trees outside conventional forest areas to meet local needs such as fuelwood, fodder, and small timber.</w:t>
        <w:br/>
        <w:t>- Farm forestry is a part of social forestry in which farmers grow trees on their own land.</w:t>
        <w:br/>
        <w:t>- Joint Forest Management involves cooperation between forest departments and local communities for protection and regeneration of forests.</w:t>
        <w:br/>
        <w:t>- West Bengal is often cited as one of the earliest states to formalize community participation in forest management.</w:t>
        <w:br/>
        <w:t>- Afforestation means establishing tree cover on land not recently under forests, while reforestation means restoring forest cover on degraded or cleared forest land.</w:t>
        <w:br/>
        <w:br/>
        <w:br/>
        <w:t>53. Which of the following protected habitat - flagship species - state pairs is NOT correctly matched?</w:t>
        <w:br/>
        <w:t>(1) Gulf of Mannar Marine National Park - Dugong - Kerala</w:t>
        <w:br/>
        <w:t>(2) Bhitarkanika National Park - Saltwater crocodile - Odisha</w:t>
        <w:br/>
        <w:t>(3) Keibul Lamjao National Park - Sangai - Manipur</w:t>
        <w:br/>
        <w:t>(4) Khangchendzonga National Park - Red panda - Sikkim</w:t>
        <w:br/>
        <w:t>Answer Key:  1</w:t>
        <w:br/>
        <w:t>Solution:</w:t>
        <w:br/>
        <w:t>Gulf of Mannar Marine National Park - Dugong - Kerala is the incorrect pair. Gulf of Mannar Marine National Park lies off the coast of Tamil Nadu, not Kerala. It is one of India's important marine protected areas associated with the conservation of the dugong, also called the sea cow.</w:t>
        <w:br/>
        <w:br/>
        <w:t>- Keibul Lamjao National Park - Sangai - Manipur is correctly matched; Keibul Lamjao in Manipur is the natural habitat of the endangered Sangai.</w:t>
        <w:br/>
        <w:t>- Khangchendzonga National Park - Red panda - Sikkim is correctly matched; this high-altitude protected area in Sikkim is an important eastern Himalayan habitat.</w:t>
        <w:br/>
        <w:t>- Bhitarkanika National Park - Saltwater crocodile - Odisha is correctly matched; Bhitarkanika in Odisha is well known for its estuarine crocodile population.</w:t>
        <w:br/>
        <w:br/>
        <w:t>Further Insights:</w:t>
        <w:br/>
        <w:t>- Sangai is the state animal of Manipur and is also called the brow-antlered deer.</w:t>
        <w:br/>
        <w:t>- Keibul Lamjao is famous as the world's only floating national park because of its phumdi vegetation.</w:t>
        <w:br/>
        <w:t>- Dugong is a Schedule I species under the Wildlife (Protection) Act, 1972.</w:t>
        <w:br/>
        <w:t>- Bhitarkanika also protects extensive mangrove ecosystems in coastal Odisha.</w:t>
        <w:br/>
        <w:t>- The Khangchendzonga landscape is part of the eastern Himalayan biodiversity hotspot.</w:t>
        <w:br/>
        <w:br/>
        <w:br/>
        <w:t>54. Who proposed the Dust Cloud Hypothesis of the origin of the Solar System?</w:t>
        <w:br/>
        <w:t>(1) Immanuel Kant</w:t>
        <w:br/>
        <w:t>(2) Gerard P. Kuiper</w:t>
        <w:br/>
        <w:t>(3) James Jeans</w:t>
        <w:br/>
        <w:t>(4) Otto Schmidt</w:t>
        <w:br/>
        <w:t>Answer Key:  4</w:t>
        <w:br/>
        <w:t>Solution:</w:t>
        <w:br/>
        <w:t>Otto Schmidt proposed the Dust Cloud Hypothesis of the origin of the Solar System. In this view, planetary bodies formed from dust and gas material associated with the Sun, and in exam-oriented geography GK, Schmidt is specifically linked with the dust-cloud or accretion-based explanation.</w:t>
        <w:br/>
        <w:t>- James Jeans is associated with the tidal hypothesis of planetary origin.</w:t>
        <w:br/>
        <w:t>- Gerard P. Kuiper is associated with the protoplanet hypothesis.</w:t>
        <w:br/>
        <w:t>- Immanuel Kant is associated with the early nebular hypothesis.</w:t>
        <w:br/>
        <w:t>Further Insights:</w:t>
        <w:br/>
        <w:t>- The nebular hypothesis is classically associated with Immanuel Kant and Pierre-Simon Laplace.</w:t>
        <w:br/>
        <w:t>- The tidal hypothesis is commonly linked with James Jeans and Harold Jeffreys.</w:t>
        <w:br/>
        <w:t>- Gerard P. Kuiper is also associated with studies of outer Solar System bodies and the Kuiper Belt.</w:t>
        <w:br/>
        <w:t>- Pluto was reclassified as a dwarf planet by the International Astronomical Union in 2006.</w:t>
        <w:br/>
        <w:br/>
        <w:br/>
        <w:t>55. In India, the largest share of the total annual rainfall is generally received during which period?</w:t>
        <w:br/>
        <w:t>(1) October to November</w:t>
        <w:br/>
        <w:t>(2) March to May</w:t>
        <w:br/>
        <w:t>(3) December to February</w:t>
        <w:br/>
        <w:t>(4) June to September</w:t>
        <w:br/>
        <w:t>Answer Key:  4</w:t>
        <w:br/>
        <w:t>Solution:</w:t>
        <w:br/>
        <w:t>The correct answer is June to September. India receives about three-fourths of its annual rainfall during the southwest monsoon season, which mainly extends from June to September. This rainfall is brought by the Arabian Sea and Bay of Bengal branches of the monsoon and covers most parts of the country.</w:t>
        <w:br/>
        <w:t>- March to May: This is the pre-monsoon hot weather season, with only localized convectional rainfall in some areas.</w:t>
        <w:br/>
        <w:t>- October to November: This is the retreating monsoon period, which is especially important for rainfall in Tamil Nadu.</w:t>
        <w:br/>
        <w:t>- December to February: This is the winter season, when most of India remains comparatively dry.</w:t>
        <w:br/>
        <w:t>Further Insights:</w:t>
        <w:br/>
        <w:t>- About 75% of India’s annual rainfall is received during the southwest monsoon.</w:t>
        <w:br/>
        <w:t>- The monsoon usually reaches Kerala in early June.</w:t>
        <w:br/>
        <w:t>- The windward side of the Western Ghats gets very heavy rainfall during this season.</w:t>
        <w:br/>
        <w:t>- Rajasthan and Ladakh are among the low-rainfall regions of India.</w:t>
        <w:br/>
        <w:t>- Tamil Nadu is a notable exception because it gets much of its rainfall from the northeast monsoon.</w:t>
        <w:br/>
        <w:br/>
        <w:br/>
        <w:t>56. ‘Luit’ is the local Assamese name of the principal river of which drainage basin?</w:t>
        <w:br/>
        <w:t>(1) Godavari basin</w:t>
        <w:br/>
        <w:t>(2) Mahanadi basin</w:t>
        <w:br/>
        <w:t>(3) Ganga basin</w:t>
        <w:br/>
        <w:t>(4) Brahmaputra basin</w:t>
        <w:br/>
        <w:t>Answer Key:  4</w:t>
        <w:br/>
        <w:t>Solution:</w:t>
        <w:br/>
        <w:t>Brahmaputra basin is correct. In Assam, the Brahmaputra is popularly known as Luit in Assamese usage. The Brahmaputra is the principal river of the Brahmaputra drainage basin and forms the major river valley of Assam before entering Bangladesh.</w:t>
        <w:br/>
        <w:t>- Ganga basin: The Ganga is associated with names such as Bhagirathi and Padma in different stretches, not Luit.</w:t>
        <w:br/>
        <w:t>- Mahanadi basin: The Mahanadi rises in Chhattisgarh and flows mainly through Odisha; Luit is unrelated to it.</w:t>
        <w:br/>
        <w:t>- Godavari basin: The Godavari is often called Dakshin Ganga, which is a different regional epithet.</w:t>
        <w:br/>
        <w:t>Further Insights:</w:t>
        <w:br/>
        <w:t>- The Brahmaputra is called Tsangpo in Tibet.</w:t>
        <w:br/>
        <w:t>- In Arunachal Pradesh, it is known as Siang or Dihang before entering Assam.</w:t>
        <w:br/>
        <w:t>- In Bangladesh, the Brahmaputra is called Jamuna.</w:t>
        <w:br/>
        <w:t>- The Brahmaputra valley is one of India’s major alluvial river valleys.</w:t>
        <w:br/>
        <w:br/>
        <w:br/>
        <w:t>57. Match List-I with List-II and choose the correct code.</w:t>
        <w:br/>
        <w:br/>
        <w:t>List-I</w:t>
        <w:br/>
        <w:t>A. Penumbral lunar eclipse</w:t>
        <w:br/>
        <w:t>B. Annular solar eclipse</w:t>
        <w:br/>
        <w:t>C. Opposition</w:t>
        <w:br/>
        <w:t>D. Meteor shower</w:t>
        <w:br/>
        <w:br/>
        <w:t>List-II</w:t>
        <w:br/>
        <w:t>1. Earth comes between the Sun and a superior planet</w:t>
        <w:br/>
        <w:t>2. Moon passes only through the Earth's outer shadow</w:t>
        <w:br/>
        <w:t>3. A bright ring of the Sun remains visible around the Moon</w:t>
        <w:br/>
        <w:t>4. Earth crosses a stream of cometary debris</w:t>
        <w:br/>
        <w:t>(1) A-4, B-3, C-1, D-2</w:t>
        <w:br/>
        <w:t>(2) A-2, B-1, C-3, D-4</w:t>
        <w:br/>
        <w:t>(3) A-2, B-3, C-1, D-4</w:t>
        <w:br/>
        <w:t>(4) A-3, B-2, C-4, D-1</w:t>
        <w:br/>
        <w:t>Answer Key:  3</w:t>
        <w:br/>
        <w:t>Solution:</w:t>
        <w:br/>
        <w:t>Option 3 is correct. In a penumbral lunar eclipse, the Moon passes only through the Earth's penumbra, so the dimming is usually subtle. An annular solar eclipse occurs when the Moon appears smaller than the Sun and leaves a bright ring visible, while opposition is the position when Earth lies between the Sun and a superior planet; meteor showers are commonly seen when Earth passes through streams of debris left by comets.</w:t>
        <w:br/>
        <w:t>- Option 1 is incorrect because it wrongly matches annular solar eclipse with the condition for opposition and wrongly matches opposition with the ring-like solar appearance.</w:t>
        <w:br/>
        <w:t>- Option 2 is incorrect because a penumbral lunar eclipse is not caused by cometary debris, and meteor showers are not related to the Moon entering Earth's outer shadow.</w:t>
        <w:br/>
        <w:t>- Option 4 is incorrect because it swaps eclipse definitions and also incorrectly links opposition with meteor showers.</w:t>
        <w:br/>
        <w:t>Further Insights</w:t>
        <w:br/>
        <w:t>- Lunar eclipses occur only on a full moon, whereas solar eclipses occur only on a new moon.</w:t>
        <w:br/>
        <w:t>- The umbra is the darkest central part of a shadow, while the penumbra is the lighter outer part.</w:t>
        <w:br/>
        <w:t>- A total lunar eclipse can be seen from the entire night side of Earth, but a total solar eclipse is visible only along a narrow path.</w:t>
        <w:br/>
        <w:t>- The Saros cycle of about 18 years 11 days is used to predict the recurrence of similar eclipses.</w:t>
        <w:br/>
        <w:t>- Mars, Jupiter and Saturn are examples of superior planets that can be observed at opposition.</w:t>
        <w:br/>
        <w:br/>
        <w:br/>
        <w:t>58. Marble, quartzite and slate are examples of which type of rocks?</w:t>
        <w:br/>
        <w:t>(1) Igneous rocks</w:t>
        <w:br/>
        <w:t>(2) Sedimentary rocks</w:t>
        <w:br/>
        <w:t>(3) Volcanic rocks</w:t>
        <w:br/>
        <w:t>(4) Metamorphic rocks</w:t>
        <w:br/>
        <w:t>Answer Key:  4</w:t>
        <w:br/>
        <w:t>Solution:</w:t>
        <w:br/>
        <w:t>Metamorphic rocks is the correct answer. Metamorphic rocks are formed when existing rocks are changed by heat, pressure, or chemically active fluids without fully melting. Marble forms from limestone, quartzite from sandstone, and slate commonly from shale, so all three belong to the metamorphic group.</w:t>
        <w:br/>
        <w:t>- Sedimentary rocks: These are formed by deposition and compaction of sediments; limestone, sandstone and shale are sedimentary, but the rocks named in the question are altered versions of them.</w:t>
        <w:br/>
        <w:t>- Igneous rocks: These form from the cooling and solidification of magma or lava; common examples include granite and basalt.</w:t>
        <w:br/>
        <w:t>- Volcanic rocks: These are extrusive igneous rocks formed at the Earth's surface, such as pumice or obsidian.</w:t>
        <w:br/>
        <w:t>Further Insights:</w:t>
        <w:br/>
        <w:t>- The three main rock groups are igneous, sedimentary and metamorphic.</w:t>
        <w:br/>
        <w:t>- Metamorphic rocks may be foliated, like slate, or non-foliated, like marble.</w:t>
        <w:br/>
        <w:t>- The rock cycle shows how one rock type can change into another over time.</w:t>
        <w:br/>
        <w:t>- Quartzite is generally very hard because it is composed mainly of recrystallized quartz.</w:t>
        <w:br/>
        <w:br/>
        <w:br/>
        <w:t>59. What is the correct full form of AHIDF?</w:t>
        <w:br/>
        <w:t>(1) Animal Husbandry Infrastructure Development Fund</w:t>
        <w:br/>
        <w:t>(2) Animal Husbandry Industrial Development Facility</w:t>
        <w:br/>
        <w:t>(3) Animal Health Infrastructure and Dairy Fund</w:t>
        <w:br/>
        <w:t>(4) Agricultural Husbandry Investment Development Fund</w:t>
        <w:br/>
        <w:t>Answer Key:  1</w:t>
        <w:br/>
        <w:t>Solution:</w:t>
        <w:br/>
        <w:t>Animal Husbandry Infrastructure Development Fund is the correct full form of AHIDF. It is a central sector fund of the Government of India aimed at supporting infrastructure investment in areas such as dairy processing, value addition, and other animal husbandry-related facilities. The scheme is associated with strengthening private investment and modern infrastructure in this sector.</w:t>
        <w:br/>
        <w:br/>
        <w:t>- Animal Health Infrastructure and Dairy Fund is incorrect because AHIDF does not officially expand with the word "Health."</w:t>
        <w:br/>
        <w:t>- Animal Husbandry Industrial Development Facility is incorrect because the official words are "Infrastructure Development Fund," not "Industrial Development Facility."</w:t>
        <w:br/>
        <w:t>- Agricultural Husbandry Investment Development Fund is incorrect because the scheme begins with "Animal," not "Agricultural," and uses "Infrastructure," not "Investment."</w:t>
        <w:br/>
        <w:br/>
        <w:t>Further Insights:</w:t>
        <w:br/>
        <w:t>- AHIDF was announced in 2020 as part of the Atmanirbhar Bharat package.</w:t>
        <w:br/>
        <w:t>- The scheme is implemented under the Department of Animal Husbandry and Dairying.</w:t>
        <w:br/>
        <w:t>- It supports eligible entities such as private companies, MSMEs, Farmer Producer Organizations, and Section 8 companies.</w:t>
        <w:br/>
        <w:t>- Dairy processing and value addition are major focus areas under the fund.</w:t>
        <w:br/>
        <w:t>- Animal husbandry and dairying are important contributors to rural income diversification in India.</w:t>
        <w:br/>
        <w:br/>
        <w:br/>
        <w:t>60. Regur belongs to which major soil group in India?</w:t>
        <w:br/>
        <w:t>(1) Laterite soil</w:t>
        <w:br/>
        <w:t>(2) Red soil</w:t>
        <w:br/>
        <w:t>(3) Desert soil</w:t>
        <w:br/>
        <w:t>(4) Black soil</w:t>
        <w:br/>
        <w:t>Answer Key:  4</w:t>
        <w:br/>
        <w:t>Solution:</w:t>
        <w:br/>
        <w:t>Black soil is the correct answer because Regur is the traditional local name for black cotton soil in India. It is mainly found over the Deccan Trap region and is known for its high moisture-retaining capacity. This soil is especially suitable for cotton cultivation, which is why it is also commonly called black cotton soil.</w:t>
        <w:br/>
        <w:br/>
        <w:t>- Red soil: Red soil gets its colour from iron oxides and is a different major soil category.</w:t>
        <w:br/>
        <w:t>- Laterite soil: Laterite soil forms under conditions of heavy rainfall and intense leaching.</w:t>
        <w:br/>
        <w:t>- Desert soil: Desert soil is found mainly in arid western India and is generally sandy and low in humus.</w:t>
        <w:br/>
        <w:br/>
        <w:t>Further Insights:</w:t>
        <w:br/>
        <w:t>- Black soil is widespread in Maharashtra, Madhya Pradesh, Gujarat, and parts of Karnataka and Telangana.</w:t>
        <w:br/>
        <w:t>- It is formed mainly from the weathering of basaltic lava rocks.</w:t>
        <w:br/>
        <w:t>- Black soil becomes sticky when wet and develops deep cracks on drying.</w:t>
        <w:br/>
        <w:t>- Important crops grown on black soil include cotton, soybean, sugarcane, and pulses.</w:t>
        <w:br/>
        <w:br/>
        <w:br/>
        <w:t>61. As per Census 2011, which of the following States fell in the category of negative decadal population growth during 2001-11?</w:t>
        <w:br/>
        <w:t>(1) Kerala</w:t>
        <w:br/>
        <w:t>(2) Nagaland</w:t>
        <w:br/>
        <w:t>(3) Sikkim</w:t>
        <w:br/>
        <w:t>(4) Goa</w:t>
        <w:br/>
        <w:t>Answer Key:  2</w:t>
        <w:br/>
        <w:t>Solution:</w:t>
        <w:br/>
        <w:t>Nagaland is the correct answer. In Census 2011, Nagaland recorded a negative decadal population growth rate during 2001-11, roughly -0.6%, making it the only State in India in that category. This is a notable census-based demographic fact frequently used in competitive exam questions.</w:t>
        <w:br/>
        <w:t>- Kerala had positive decadal growth of about 4.9% in Census 2011.</w:t>
        <w:br/>
        <w:t>- Goa recorded positive decadal growth of about 8.2% during 2001-11.</w:t>
        <w:br/>
        <w:t>- Sikkim also showed positive decadal growth, around 12.9%, not negative.</w:t>
        <w:br/>
        <w:t>Further Insights:</w:t>
        <w:br/>
        <w:t>- Census 2011 was the 15th Census of India and the 7th after Independence.</w:t>
        <w:br/>
        <w:t>- India's total population in Census 2011 was about 121.09 crore.</w:t>
        <w:br/>
        <w:t>- Uttar Pradesh was the most populous State in Census 2011.</w:t>
        <w:br/>
        <w:t>- Bihar had the highest population density among the States in Census 2011.</w:t>
        <w:br/>
        <w:br/>
        <w:br/>
        <w:t>62. Which is the longest National Waterway in India?</w:t>
        <w:br/>
        <w:t>(1) National Waterway-2</w:t>
        <w:br/>
        <w:t>(2) National Waterway-4</w:t>
        <w:br/>
        <w:t>(3) National Waterway-3</w:t>
        <w:br/>
        <w:t>(4) National Waterway-1</w:t>
        <w:br/>
        <w:t>Answer Key:  4</w:t>
        <w:br/>
        <w:t>Solution:</w:t>
        <w:br/>
        <w:t>National Waterway-1 is the longest National Waterway in India. It runs from Prayagraj to Haldia along the Ganga-Bhagirathi-Hooghly river system and is about 1,620 km long.</w:t>
        <w:br/>
        <w:br/>
        <w:t>- National Waterway-2 is the Brahmaputra waterway from Dhubri to Sadiya in Assam and is shorter than NW-1.</w:t>
        <w:br/>
        <w:t>- National Waterway-3 is located in Kerala and mainly follows the West Coast Canal and connected canal stretches.</w:t>
        <w:br/>
        <w:t>- National Waterway-4 covers stretches in Andhra Pradesh, Tamil Nadu and Puducherry and is not the longest national waterway.</w:t>
        <w:br/>
        <w:br/>
        <w:t>Further Insights:</w:t>
        <w:br/>
        <w:t>- The Inland Waterways Authority of India is the main body for development of inland waterways.</w:t>
        <w:br/>
        <w:t>- NW-1 is an important corridor for cargo movement in northern and eastern India.</w:t>
        <w:br/>
        <w:t>- Jal Marg Vikas Project is associated with the development of NW-1.</w:t>
        <w:br/>
        <w:t>- Haldia serves as the eastern terminal point of NW-1.</w:t>
        <w:br/>
        <w:br/>
        <w:br/>
        <w:t>63. With reference to the Earth's heat zones and temperature variation, choose the incorrect statement.</w:t>
        <w:br/>
        <w:t>1. The Torrid Zone lies between the Tropic of Cancer and the Tropic of Capricorn.</w:t>
        <w:br/>
        <w:t>2. The Temperate Zones lie between the tropics and the polar circles in both hemispheres.</w:t>
        <w:br/>
        <w:t>3. The Frigid Zones receive slanting rays of the Sun and remain very cold for most of the year.</w:t>
        <w:br/>
        <w:t>4. Regions near the Equator generally have the highest annual range of temperature.</w:t>
        <w:br/>
        <w:t>(1) Statement 4</w:t>
        <w:br/>
        <w:t>(2) Statement 1</w:t>
        <w:br/>
        <w:t>(3) Statement 2</w:t>
        <w:br/>
        <w:t>(4) Statement 3</w:t>
        <w:br/>
        <w:t>Answer Key:  1</w:t>
        <w:br/>
        <w:t>Solution:</w:t>
        <w:br/>
        <w:t>The correct answer is Statement 4. Regions near the Equator receive almost overhead sunlight through much of the year, so temperatures remain fairly uniform across seasons. Hence, equatorial areas usually have a low annual range of temperature, while higher latitudes show greater seasonal variation.</w:t>
        <w:br/>
        <w:br/>
        <w:t>- Statement 1 is correct because the Torrid Zone extends from 23½° N to 23½° S.</w:t>
        <w:br/>
        <w:t>- Statement 2 is correct because the Temperate Zones are located between the tropics and the Arctic/Antarctic Circles.</w:t>
        <w:br/>
        <w:t>- Statement 3 is correct because the Frigid Zones receive very slanting rays of the Sun and are therefore very cold.</w:t>
        <w:br/>
        <w:br/>
        <w:t>Further Insights:</w:t>
        <w:br/>
        <w:t>- The Tropic of Cancer is located at 23½° North latitude.</w:t>
        <w:br/>
        <w:t>- The Tropic of Capricorn is located at 23½° South latitude.</w:t>
        <w:br/>
        <w:t>- The Arctic Circle and Antarctic Circle lie at 66½° North and 66½° South respectively.</w:t>
        <w:br/>
        <w:t>- Annual temperature range is generally least near the Equator and greater toward the poles.</w:t>
        <w:br/>
        <w:t>- Equatorial regions are characterized by high mean temperature but low seasonal contrast.</w:t>
        <w:br/>
        <w:br/>
        <w:br/>
        <w:t>64. Under which constitutional provision is it stated that an ordinary bill pending in the Rajya Sabha and not passed by the Lok Sabha does not lapse on the dissolution of the Lok Sabha?</w:t>
        <w:br/>
        <w:t>(1) Article 107(4)</w:t>
        <w:br/>
        <w:t>(2) Article 107(3)</w:t>
        <w:br/>
        <w:t>(3) Article 111</w:t>
        <w:br/>
        <w:t>(4) Article 108(1)</w:t>
        <w:br/>
        <w:t>Answer Key:  1</w:t>
        <w:br/>
        <w:t>Solution:</w:t>
        <w:br/>
        <w:t>Article 107(4) is the correct answer. The Constitution of India specifically provides that a bill pending in the Council of States which has not been passed by the House of the People shall not lapse on the dissolution of the House of the People. This is an important special rule in the legislative procedure for ordinary bills and distinguishes dissolution from other parliamentary situations.</w:t>
        <w:br/>
        <w:br/>
        <w:t>- Article 107(3) states that a bill pending in Parliament does not lapse by reason of prorogation of the Houses.</w:t>
        <w:br/>
        <w:t>- Article 108(1) deals with the President summoning a joint sitting of both Houses in case of deadlock on a bill.</w:t>
        <w:br/>
        <w:t>- Article 111 relates to the President's assent to bills and the return of a bill other than a Money Bill for reconsideration.</w:t>
        <w:br/>
        <w:br/>
        <w:t>Further Insights:</w:t>
        <w:br/>
        <w:t>- An ordinary bill may originate in either House of Parliament.</w:t>
        <w:br/>
        <w:t>- A bill pending in the Lok Sabha lapses on the dissolution of the Lok Sabha.</w:t>
        <w:br/>
        <w:t>- A bill passed by the Lok Sabha but pending in the Rajya Sabha also lapses on dissolution of the Lok Sabha, subject to Article 108.</w:t>
        <w:br/>
        <w:t>- A bill does not lapse merely because either House is prorogued.</w:t>
        <w:br/>
        <w:t>- Money Bills can be introduced only in the Lok Sabha and follow a different procedure from ordinary bills.</w:t>
        <w:br/>
        <w:br/>
        <w:br/>
        <w:t>65. A Bill seeks to carve a new State out of an existing State and, due to the reorganisation, to redistribute the Rajya Sabha seats of the successor States. Before this Bill is introduced in Parliament, what does the Constitution require?</w:t>
        <w:br/>
        <w:t>(1) Ratification by at least half of the State Legislatures under Article 368 before introduction in Parliament.</w:t>
        <w:br/>
        <w:t>(2) Consent of the concerned State Legislature by a two-thirds majority before Parliament can take it up.</w:t>
        <w:br/>
        <w:t>(3) Prior approval of the Election Commission because parliamentary representation is being altered.</w:t>
        <w:br/>
        <w:t>(4) Prior recommendation of the President, and the concerned State Legislature must be given an opportunity to express its views within the period specified by the President.</w:t>
        <w:br/>
        <w:t>Answer Key:  4</w:t>
        <w:br/>
        <w:t>Solution:</w:t>
        <w:br/>
        <w:t>Prior recommendation of the President, and the concerned State Legislature must be given an opportunity to express its views within the period specified by the President. is correct. Under Article 3, a Bill for forming a new State or altering the area, boundaries or name of an existing State can be introduced in Parliament only on the recommendation of the President. If the proposal affects an existing State, the President must refer it to that State Legislature for expressing its views within a specified period, but those views are not binding.</w:t>
        <w:br/>
        <w:br/>
        <w:t>- Ratification by at least half of the State Legislatures under Article 368 before introduction in Parliament. is incorrect because Article 368 applies to constitutional amendments of specified types, not to an Article 3 reorganisation Bill.</w:t>
        <w:br/>
        <w:t>- Consent of the concerned State Legislature by a two-thirds majority before Parliament can take it up. is incorrect because the Constitution requires the State Legislature's views, not its consent.</w:t>
        <w:br/>
        <w:t>- Prior approval of the Election Commission because parliamentary representation is being altered. is incorrect because the Election Commission has no constitutional role of prior approval in introducing such Bills.</w:t>
        <w:br/>
        <w:br/>
        <w:t>Further Insights:</w:t>
        <w:br/>
        <w:t>- Article 3 deals with formation of new States and alteration of areas, boundaries or names of existing States.</w:t>
        <w:br/>
        <w:t>- Article 4 permits supplemental, incidental and consequential provisions in laws made under Articles 2 and 3.</w:t>
        <w:br/>
        <w:t>- Article 4 allows changes to the First and Fourth Schedules when necessary after reorganisation.</w:t>
        <w:br/>
        <w:t>- A law made under Article 4 is not deemed to be a constitutional amendment for the purposes of Article 368.</w:t>
        <w:br/>
        <w:t>- The Fourth Schedule contains the allocation of seats in the Rajya Sabha among States and Union Territories.</w:t>
        <w:br/>
        <w:br/>
        <w:br/>
        <w:t>66. Which of the following was NOT a provision of the Charter Act of 1833?</w:t>
        <w:br/>
        <w:t>(1) Recruitment to the Civil Services was thrown open to competition on the basis of merit.</w:t>
        <w:br/>
        <w:t>(2) The Governor-General of Bengal was redesignated as the Governor-General of India.</w:t>
        <w:br/>
        <w:t>(3) The legislative powers of the Bombay and Madras Presidencies were taken away and centralized.</w:t>
        <w:br/>
        <w:t>(4) The East India Company was deprived of its remaining commercial functions.</w:t>
        <w:br/>
        <w:t>Answer Key:  1</w:t>
        <w:br/>
        <w:t>Solution:</w:t>
        <w:br/>
        <w:t>Recruitment to the Civil Services was thrown open to competition on the basis of merit. is the correct option because the Charter Act of 1833 did not introduce open competitive examination for civil services. That change is associated with the Charter Act of 1853, after which the Macaulay Committee recommended the competitive system. The Charter Act of 1833 is instead remembered for strong administrative centralisation and for ending the East India Company's commercial role.</w:t>
        <w:br/>
        <w:br/>
        <w:t>- The Governor-General of Bengal was redesignated as the Governor-General of India. This was a key provision of the Charter Act of 1833, and Lord William Bentinck became the first to hold that position.</w:t>
        <w:br/>
        <w:t>- The legislative powers of the Bombay and Madras Presidencies were taken away and centralized. This was one of the major centralising features of the 1833 Act.</w:t>
        <w:br/>
        <w:t>- The East India Company was deprived of its remaining commercial functions. The Act ended the Company's trade monopoly completely, including its trade with China.</w:t>
        <w:br/>
        <w:br/>
        <w:t>Further Insights:</w:t>
        <w:br/>
        <w:t>- The Charter Act of 1813 ended the Company's monopoly of trade with India but allowed it to retain the tea trade and trade with China.</w:t>
        <w:br/>
        <w:t>- The Charter Act of 1833 completed the process by ending the Company's remaining commercial activities.</w:t>
        <w:br/>
        <w:t>- The Charter Act of 1853 separated, for the first time, the legislative and executive functions of the Governor-General's council to a greater extent.</w:t>
        <w:br/>
        <w:t>- Open competition for the civil services in practice followed the recommendations of the Macaulay Committee in 1854.</w:t>
        <w:br/>
        <w:t>- Administrative centralisation under the Charter Act of 1833 made the Governor-General in Council the chief legislative authority for all British Indian territories.</w:t>
        <w:br/>
        <w:br/>
        <w:br/>
        <w:t>67. Appointment of district judges in a State is made by the Governor in consultation with which authority?</w:t>
        <w:br/>
        <w:t>(1) State Public Service Commission</w:t>
        <w:br/>
        <w:t>(2) High Court exercising jurisdiction in relation to the State</w:t>
        <w:br/>
        <w:t>(3) President of India</w:t>
        <w:br/>
        <w:t>(4) State Cabinet</w:t>
        <w:br/>
        <w:t>Answer Key:  2</w:t>
        <w:br/>
        <w:t>Solution:</w:t>
        <w:br/>
        <w:t>The correct answer is High Court exercising jurisdiction in relation to the State. Article 233 of the Constitution states that appointment, posting and promotion of district judges in a State shall be made by the Governor in consultation with the High Court exercising jurisdiction in relation to that State. This constitutional role of the High Court is an important safeguard for the independence of the subordinate judiciary.</w:t>
        <w:br/>
        <w:br/>
        <w:t>- State Public Service Commission: It is consulted under Article 234 for appointments to the judicial service of the State other than district judges.</w:t>
        <w:br/>
        <w:t>- President of India: The President has no role in appointing district judges under Article 233.</w:t>
        <w:br/>
        <w:t>- State Cabinet: The Constitution does not prescribe consultation with the State Cabinet for appointment of district judges.</w:t>
        <w:br/>
        <w:br/>
        <w:t>Further Insights:</w:t>
        <w:br/>
        <w:t>- Article 233 deals with appointment, posting and promotion of district judges.</w:t>
        <w:br/>
        <w:t>- Article 234 deals with recruitment of persons other than district judges to the judicial service of the State.</w:t>
        <w:br/>
        <w:t>- Article 235 vests control over district courts and courts subordinate thereto in the High Court.</w:t>
        <w:br/>
        <w:t>- Article 236 defines the expression "district judge" for constitutional purposes.</w:t>
        <w:br/>
        <w:t>- Articles 233 to 237 collectively deal with the subordinate judiciary in the Constitution of India.</w:t>
        <w:br/>
        <w:br/>
        <w:br/>
        <w:t>68. In the election of the President of India, the value of the vote of an MLA is highest in which of the following States?</w:t>
        <w:br/>
        <w:t>(1) Uttar Pradesh</w:t>
        <w:br/>
        <w:t>(2) Bihar</w:t>
        <w:br/>
        <w:t>(3) Maharashtra</w:t>
        <w:br/>
        <w:t>(4) Tamil Nadu</w:t>
        <w:br/>
        <w:t>Answer Key:  1</w:t>
        <w:br/>
        <w:t>Solution:</w:t>
        <w:br/>
        <w:t>Uttar Pradesh is the correct option. In the Presidential election, the value of the vote of an MLA is worked out under Article 55 on the basis of the State's population and the number of elected members of its Legislative Assembly. Under the present arrangement, Uttar Pradesh has the highest MLA vote value, which is 208.</w:t>
        <w:br/>
        <w:br/>
        <w:t>- Maharashtra: The value of vote of an MLA from Maharashtra is 175, so it is not the highest.</w:t>
        <w:br/>
        <w:t>- Bihar: Bihar's MLA vote value is 173, which is below Uttar Pradesh.</w:t>
        <w:br/>
        <w:t>- Tamil Nadu: Tamil Nadu has an MLA vote value of 176, high but still lower than Uttar Pradesh.</w:t>
        <w:br/>
        <w:br/>
        <w:t>Further Insights:</w:t>
        <w:br/>
        <w:t>- Article 54 provides that the President is elected by an electoral college consisting of elected MPs and elected MLAs of the States.</w:t>
        <w:br/>
        <w:t>- The elected MLAs of the National Capital Territory of Delhi and Puducherry also participate in the Presidential election.</w:t>
        <w:br/>
        <w:t>- Nominated members of Parliament and nominated members of State Legislatures do not vote in the Presidential election.</w:t>
        <w:br/>
        <w:t>- Article 55 seeks to maintain uniformity among the States and parity between the Union and the States in the Presidential election process.</w:t>
        <w:br/>
        <w:br/>
        <w:br/>
        <w:t>69. The Governor’s report to the President on administration of Scheduled Areas is mandated under which Schedule of the Constitution?</w:t>
        <w:br/>
        <w:t>(1) Ninth Schedule</w:t>
        <w:br/>
        <w:t>(2) Fifth Schedule</w:t>
        <w:br/>
        <w:t>(3) Eleventh Schedule</w:t>
        <w:br/>
        <w:t>(4) Sixth Schedule</w:t>
        <w:br/>
        <w:t>Answer Key:  2</w:t>
        <w:br/>
        <w:t>Solution:</w:t>
        <w:br/>
        <w:t>Fifth Schedule is correct because it deals with the administration and control of Scheduled Areas and Scheduled Tribes in states other than Assam, Meghalaya, Tripura and Mizoram. It contains provisions under which the Governor submits a report to the President regarding the administration of Scheduled Areas. It is associated with Article 244(1) of the Constitution.</w:t>
        <w:br/>
        <w:br/>
        <w:t>- Sixth Schedule deals with administration of tribal areas in Assam, Meghalaya, Tripura and Mizoram through Autonomous District Councils and Regional Councils.</w:t>
        <w:br/>
        <w:t>- Ninth Schedule was added by the First Constitutional Amendment in 1951 mainly to protect certain laws from judicial review.</w:t>
        <w:br/>
        <w:t>- Eleventh Schedule contains 29 subjects related to Panchayats under Part IX of the Constitution.</w:t>
        <w:br/>
        <w:br/>
        <w:t>Further Insights:</w:t>
        <w:br/>
        <w:t>- The Fifth Schedule empowers the Governor to make regulations for peace and good government in a Scheduled Area.</w:t>
        <w:br/>
        <w:t>- A Tribes Advisory Council is to be established in states having Scheduled Areas under the Fifth Schedule.</w:t>
        <w:br/>
        <w:t>- The President has the power to declare areas as Scheduled Areas.</w:t>
        <w:br/>
        <w:t>- The Sixth Schedule is linked to Article 244(2), while the Fifth Schedule is linked to Article 244(1).</w:t>
        <w:br/>
        <w:t>- The Fifth and Sixth Schedules together form the core constitutional framework for tribal area administration in India.</w:t>
        <w:br/>
        <w:br/>
        <w:br/>
        <w:t>70. Which of the following became Prime Minister of India without having earlier served as Chief Minister of any State?</w:t>
        <w:br/>
        <w:t>(1) Chandra Shekhar</w:t>
        <w:br/>
        <w:t>(2) Charan Singh</w:t>
        <w:br/>
        <w:t>(3) V. P. Singh</w:t>
        <w:br/>
        <w:t>(4) Morarji Desai</w:t>
        <w:br/>
        <w:t>Answer Key:  1</w:t>
        <w:br/>
        <w:t>Solution:</w:t>
        <w:br/>
        <w:t>Chandra Shekhar is correct. He became Prime Minister of India in November 1990 and had not earlier served as the Chief Minister of any Indian state. Before reaching the Prime Minister's office, his major public roles were in national parliamentary politics, including leadership within the Janata Party.</w:t>
        <w:br/>
        <w:t>- Morarji Desai: He had served as Chief Minister of Bombay State before becoming Prime Minister.</w:t>
        <w:br/>
        <w:t>- Charan Singh: He had served as Chief Minister of Uttar Pradesh before becoming Prime Minister.</w:t>
        <w:br/>
        <w:t>- V. P. Singh: He had served as Chief Minister of Uttar Pradesh before becoming Prime Minister.</w:t>
        <w:br/>
        <w:t>Further Insights:</w:t>
        <w:br/>
        <w:t>- Morarji Desai became India’s first non-Congress Prime Minister in 1977.</w:t>
        <w:br/>
        <w:t>- Charan Singh served as Prime Minister in 1979–80.</w:t>
        <w:br/>
        <w:t>- V. P. Singh became Prime Minister in 1989 as leader of the National Front coalition.</w:t>
        <w:br/>
        <w:t>- Chandra Shekhar served as Prime Minister from November 1990 to June 1991.</w:t>
        <w:br/>
        <w:t>- Several Indian Prime Ministers, including Morarji Desai and Charan Singh, had earlier held the office of Chief Minister at the state level.</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