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78036" w14:textId="77777777" w:rsidR="00535B97" w:rsidRDefault="00000000">
      <w:pPr>
        <w:pStyle w:val="Title"/>
      </w:pPr>
      <w:r>
        <w:t>Implications of hyper-local Lassa virus transmission heterogeneity for vaccine trial site selection: a cross-sectional study in Nigeria, 2024</w:t>
      </w:r>
    </w:p>
    <w:p w14:paraId="3756CFB6" w14:textId="77777777" w:rsidR="00535B97" w:rsidRDefault="00000000">
      <w:pPr>
        <w:pStyle w:val="Heading1"/>
      </w:pPr>
      <w:bookmarkStart w:id="0" w:name="abstract"/>
      <w:r>
        <w:t>Abstract</w:t>
      </w:r>
    </w:p>
    <w:p w14:paraId="186B4C24" w14:textId="77777777" w:rsidR="00535B97" w:rsidRDefault="00000000">
      <w:r>
        <w:t>Introduction: Lassa virus (LASV) is a WHO priority pathogen with vaccine candidates advancing toward Phase III efficacy trials. Trial success depends on selecting sites with sufficient incidence, yet the local drivers of transmission remain poorly understood. We aimed to assess fine-scale variation in LASV exposure to inform trial site selection and control strategies.</w:t>
      </w:r>
    </w:p>
    <w:p w14:paraId="6754BE71" w14:textId="77777777" w:rsidR="00535B97" w:rsidRDefault="00000000">
      <w:r>
        <w:t xml:space="preserve">Methods: We conducted a cross-sectional serosurvey in nine rural villages across three Nigerian states (Benue, Ebonyi, Cross River) during 2024. We tested 1,874 individuals for LASV IgG antibodies and analysed questionnaire data using Bayesian hierarchical models to identify demographic, environmental, and behavioural correlates of exposure. Spatial clustering was assessed using local </w:t>
      </w:r>
      <w:proofErr w:type="spellStart"/>
      <w:r>
        <w:t>Getis</w:t>
      </w:r>
      <w:proofErr w:type="spellEnd"/>
      <w:r>
        <w:t>-Ord Gi* statistics.</w:t>
      </w:r>
    </w:p>
    <w:p w14:paraId="391AEC30" w14:textId="77777777" w:rsidR="00535B97" w:rsidRDefault="00000000">
      <w:r>
        <w:t>Results: Overall seroprevalence was 3.3% but exhibited extreme heterogeneity, ranging from 1.7% to 5.1% between states and 0.8% to 6.5% between neighbouring villages. We found no consistent associations between seropositivity and self-reported risk factors, including rodent consumption or agricultural practices. Age-seroprevalence profiles differed markedly between locations, suggesting distinct local transmission histories (endemic vs. epidemic). Furthermore, we observed no significant village-wide spatial clustering of seropositive households.</w:t>
      </w:r>
    </w:p>
    <w:p w14:paraId="58E3BFEF" w14:textId="789E9AC7" w:rsidR="00535B97" w:rsidRDefault="00000000">
      <w:r>
        <w:lastRenderedPageBreak/>
        <w:t>Discussion: LASV exposure is driven by complex, hyper-local factors that are not captured by broad regional risk mapping. The absence of clear demographic risk profiles challenges the efficacy of spatially targeted interventions based on passive surveillance. For vaccine trial planning, relying on regional notification rates may lead to the selection of sites with insufficient transmission intensity. We recommend granular, active One Health surveillance</w:t>
      </w:r>
      <w:r w:rsidR="006D10F7">
        <w:t xml:space="preserve">, </w:t>
      </w:r>
      <w:r>
        <w:t>integrating human serology with longitudinal reservoir monitoring</w:t>
      </w:r>
      <w:r w:rsidR="006D10F7">
        <w:t xml:space="preserve"> </w:t>
      </w:r>
      <w:r>
        <w:t>to verify local transmission dynamics prior to trial enrolment.</w:t>
      </w:r>
    </w:p>
    <w:p w14:paraId="359E53C5" w14:textId="77777777" w:rsidR="00535B97" w:rsidRDefault="00000000">
      <w:pPr>
        <w:pStyle w:val="Heading1"/>
      </w:pPr>
      <w:bookmarkStart w:id="1" w:name="introduction"/>
      <w:bookmarkEnd w:id="0"/>
      <w:r>
        <w:t>Introduction</w:t>
      </w:r>
    </w:p>
    <w:p w14:paraId="16008030" w14:textId="77777777" w:rsidR="00535B97" w:rsidRDefault="00000000">
      <w:r>
        <w:t>Lassa virus (</w:t>
      </w:r>
      <w:r>
        <w:rPr>
          <w:i/>
          <w:iCs/>
        </w:rPr>
        <w:t>Mammarenavirus lassaense</w:t>
      </w:r>
      <w:r>
        <w:t xml:space="preserve">; </w:t>
      </w:r>
      <w:proofErr w:type="spellStart"/>
      <w:r>
        <w:t>Arenaviridae</w:t>
      </w:r>
      <w:proofErr w:type="spellEnd"/>
      <w:r>
        <w:t>, LASV) is a zoonotic arenavirus endemic to West Africa, with regular outbreaks occurring in Nigeria, Guinea, Liberia, and Sierra Leone. It causes Lassa fever, a viral haemorrhagic illness responsible for an estimated 900,000 annual infections and over 200 deaths annually in Nigeria alone [1]. Clinical presentation ranges from asymptomatic infection to severe haemorrhagic fever with case fatality exceeding 20% in hospitalized patients, for whom treatment options remain limited [2].</w:t>
      </w:r>
    </w:p>
    <w:p w14:paraId="2C428030" w14:textId="77777777" w:rsidR="00535B97" w:rsidRDefault="00000000">
      <w:r>
        <w:t xml:space="preserve">The primary reservoir for LASV is </w:t>
      </w:r>
      <w:r>
        <w:rPr>
          <w:i/>
          <w:iCs/>
        </w:rPr>
        <w:t>Mastomys natalensis</w:t>
      </w:r>
      <w:r>
        <w:t>, a highly fecund, synanthropic rodent widely distributed across sub-Saharan Africa [3]. It thrives in agricultural and peri-domestic environments, creating substantial opportunities for human contact [4]. Infected rodents, particularly those infected vertically in utero, can become persistent shedders of the virus in excreta, while its fluctuating population dynamics influence seasonal transmission intensity [5,6].</w:t>
      </w:r>
    </w:p>
    <w:p w14:paraId="0E3C879C" w14:textId="77777777" w:rsidR="00535B97" w:rsidRDefault="00000000">
      <w:r>
        <w:t xml:space="preserve">Human infection occurs primarily through direct or indirect contact with infected rodents, their excreta, contaminated food, or aerosolised particles [7]. Occupational and domestic </w:t>
      </w:r>
      <w:r>
        <w:lastRenderedPageBreak/>
        <w:t>exposures, particularly in farming, food storage, and rodent hunting contexts, are commonly implicated. Critically, seroprevalence surveys show that exposure is widespread, with most infections (~80%) being asymptomatic or subclinical; consequently, passive surveillance-derived case counts severely underestimate the true infection burden [8].</w:t>
      </w:r>
    </w:p>
    <w:p w14:paraId="432B1ACD" w14:textId="77777777" w:rsidR="00535B97" w:rsidRDefault="00000000">
      <w:r>
        <w:t>Environmental and ecological conditions strongly influence LASV spillover [9]. Land use changes like deforestation and agricultural intensification can increase human-rodent contact, while shifts in rodent community composition may also moderate risk [10–12]. Despite these broad-scale drivers, observed variation in LASV prevalence between ecologically similar areas highlights the critical importance of fine-scale factors [13]. These include social conditions, such as household structure, food storage methods, and specific human-animal interactions.</w:t>
      </w:r>
    </w:p>
    <w:p w14:paraId="67B00DFA" w14:textId="77777777" w:rsidR="00535B97" w:rsidRDefault="00000000">
      <w:r>
        <w:t>Reliable epidemiological data are urgently needed to support the development of LF therapeutics and vaccines. LASV is a designated priority pathogen for the World Health Organization and the Coalition for Epidemic Preparedness Innovations (CEPI), with multiple vaccine candidates currently advancing into Phase II clinical trials [14]. The success of future Phase III efficacy trials relies heavily on identifying hotspot communities where incidence is sufficient to accrue clinical cases to measure a vaccine effect. However, relying on broad-scale incidence data to select these sites risks recruitment failure if transmission is more focal than regional risk maps suggest.</w:t>
      </w:r>
    </w:p>
    <w:p w14:paraId="6815120D" w14:textId="77777777" w:rsidR="00535B97" w:rsidRDefault="00000000">
      <w:r>
        <w:t xml:space="preserve">Current Lassa fever surveillance relies primarily on passive case detection at sentinel hospitals, which overlooks mild infections and asymptomatic seroconversion in the community [15]. As a result, major gaps remain in understanding why transmission risk varies so markedly at local scales, where the conditions facilitating spillover remain poorly defined [16]. To address this, we conducted a cross-sectional study in nine communities across three Nigerian states. We combined serological testing with structured questionnaires </w:t>
      </w:r>
      <w:r>
        <w:lastRenderedPageBreak/>
        <w:t>to investigate fine-scale drivers of exposure. Our objectives were to: 1) estimate LASV seroprevalence at state and village levels; 2) characterise individual and household correlates of seropositivity; and 3) explore spatial heterogeneity in local transmission risk.</w:t>
      </w:r>
    </w:p>
    <w:p w14:paraId="0B625B96" w14:textId="77777777" w:rsidR="00535B97" w:rsidRDefault="00000000">
      <w:pPr>
        <w:pStyle w:val="Heading1"/>
      </w:pPr>
      <w:bookmarkStart w:id="2" w:name="materials-and-methods"/>
      <w:bookmarkEnd w:id="1"/>
      <w:r>
        <w:t>Materials and Methods</w:t>
      </w:r>
    </w:p>
    <w:p w14:paraId="57603B52" w14:textId="77777777" w:rsidR="00535B97" w:rsidRDefault="00000000">
      <w:r>
        <w:t>The primary objective of this study was to estimate the seroprevalence of LASV IgG in nine communities across three Nigerian states. Secondary objectives were to explore demographic, environmental, behavioural, and occupational correlates of seropositivity and to assess fine-scale spatial heterogeneity of exposure.</w:t>
      </w:r>
    </w:p>
    <w:p w14:paraId="21D08A9D" w14:textId="77777777" w:rsidR="00535B97" w:rsidRDefault="00000000">
      <w:pPr>
        <w:pStyle w:val="Heading2"/>
      </w:pPr>
      <w:bookmarkStart w:id="3" w:name="study-design-and-participants"/>
      <w:r>
        <w:t>Study design and participants</w:t>
      </w:r>
    </w:p>
    <w:p w14:paraId="586269FF" w14:textId="77777777" w:rsidR="00535B97" w:rsidRDefault="00000000">
      <w:r>
        <w:t xml:space="preserve">This cross-sectional baseline survey was conducted as part of the SCAPES longitudinal study [16]. Nine villages across three states (Benue [BN], Ebonyi [EB], and Cross River [CR]) were selected using a tool incorporating population estimates, land cover (as a proxy for </w:t>
      </w:r>
      <w:r>
        <w:rPr>
          <w:i/>
          <w:iCs/>
        </w:rPr>
        <w:t>M. natalensis</w:t>
      </w:r>
      <w:r>
        <w:t xml:space="preserve"> habitat suitability), and logistical accessibility [17]. Final selection was confirmed through site visits and consultation with local public health surveillance teams.</w:t>
      </w:r>
    </w:p>
    <w:p w14:paraId="528947FB" w14:textId="77777777" w:rsidR="00535B97" w:rsidRDefault="00000000">
      <w:r>
        <w:t>Households were enumerated to estimate population size and plan recruitment. Villages ranged from 110 to 321 households (population 465–2,313; Supplementary Materials Section 1). We aimed to recruit ~20% of households per village (target ~70), enrolling four individuals per household: an adult male, adult female, adolescent (12–18), and a randomly selected child (&lt;12). Children under 12 provided dried blood spot (DBS) samples but did not complete questionnaires.</w:t>
      </w:r>
    </w:p>
    <w:p w14:paraId="779B5B0C" w14:textId="77777777" w:rsidR="00535B97" w:rsidRDefault="00000000">
      <w:r>
        <w:t xml:space="preserve">Based on published LASV seroprevalence data [13,15,18], we assumed high-risk (&gt;40% seroprevalence), medium-risk (10–20%), and low-risk (&lt;5%) village categories. We </w:t>
      </w:r>
      <w:r>
        <w:lastRenderedPageBreak/>
        <w:t>estimated that 180 individuals would provide 80% power (α = 0.05, β = 0.2) to detect significant differences in LASV seroprevalence between village categories. Household-level clustering of serostatus was expected; hence, the design was powered to detect differences at both village and household levels.</w:t>
      </w:r>
    </w:p>
    <w:p w14:paraId="1E00C6A9" w14:textId="77777777" w:rsidR="00535B97" w:rsidRDefault="00000000">
      <w:r>
        <w:t xml:space="preserve">Systematic sampling was used to select households within each village. Routes were designed to approach every </w:t>
      </w:r>
      <w:r>
        <w:rPr>
          <w:i/>
          <w:iCs/>
        </w:rPr>
        <w:t>n</w:t>
      </w:r>
      <w:r>
        <w:t xml:space="preserve">th household (where </w:t>
      </w:r>
      <w:r>
        <w:rPr>
          <w:i/>
          <w:iCs/>
        </w:rPr>
        <w:t>n</w:t>
      </w:r>
      <w:r>
        <w:t xml:space="preserve"> is the total number of households divided by the target sample size). Three households (all in BN) declined participation; in these instances, the next household was enrolled. The participant flow diagram is available in Supplementary Materials Section 2.</w:t>
      </w:r>
    </w:p>
    <w:p w14:paraId="1ED1F912" w14:textId="77777777" w:rsidR="00535B97" w:rsidRDefault="00000000">
      <w:pPr>
        <w:pStyle w:val="Heading2"/>
      </w:pPr>
      <w:bookmarkStart w:id="4" w:name="ethics-approval"/>
      <w:bookmarkEnd w:id="3"/>
      <w:r>
        <w:t>Ethics approval</w:t>
      </w:r>
    </w:p>
    <w:p w14:paraId="784CD970" w14:textId="77777777" w:rsidR="00535B97" w:rsidRDefault="00000000">
      <w:r>
        <w:t>The study protocol was approved by the Institutional Review Board of the Pennsylvania State University, USA (STUDY00019989), and by the Nigerian National Health Research Ethics Committee (AEC/03/168/24). Additional approval was obtained from the health research ethics committees of the public health agencies in each participating state. The study was conducted in accordance with the Declaration of Helsinki. Enrolment involved engagement with community leaders. Informed consent was obtained from all adults; assent and parental consent were obtained for minors.</w:t>
      </w:r>
    </w:p>
    <w:p w14:paraId="373E9CD7" w14:textId="77777777" w:rsidR="00535B97" w:rsidRDefault="00000000">
      <w:pPr>
        <w:pStyle w:val="Heading2"/>
      </w:pPr>
      <w:bookmarkStart w:id="5" w:name="data-collection"/>
      <w:bookmarkEnd w:id="4"/>
      <w:r>
        <w:t>Data collection</w:t>
      </w:r>
    </w:p>
    <w:p w14:paraId="7813C762" w14:textId="77777777" w:rsidR="00535B97" w:rsidRDefault="00000000">
      <w:r>
        <w:t xml:space="preserve">A questionnaire covering demographic, environmental, behavioural, and occupational domains was administered [19]. DBS samples were collected by fingerstick on Whatman 903 cards, air-dried, and transported with desiccant. Samples were eluted and tested for LASV IgG using the </w:t>
      </w:r>
      <w:proofErr w:type="spellStart"/>
      <w:r>
        <w:t>Panadea</w:t>
      </w:r>
      <w:proofErr w:type="spellEnd"/>
      <w:r>
        <w:t xml:space="preserve"> LASV ELISA kit following the manufacturer’s protocol modified for DBS [20,21].</w:t>
      </w:r>
    </w:p>
    <w:p w14:paraId="29D4EE4B" w14:textId="77777777" w:rsidR="00535B97" w:rsidRDefault="00000000">
      <w:pPr>
        <w:pStyle w:val="Heading2"/>
      </w:pPr>
      <w:bookmarkStart w:id="6" w:name="statistical-methods"/>
      <w:bookmarkEnd w:id="5"/>
      <w:r>
        <w:lastRenderedPageBreak/>
        <w:t>Statistical methods</w:t>
      </w:r>
    </w:p>
    <w:p w14:paraId="68C6781A" w14:textId="77777777" w:rsidR="00535B97" w:rsidRDefault="00000000">
      <w:r>
        <w:t>Analyses were performed in R (v4.2.3) [22]. Questionnaire responses were linked to individual and household records using unique identifiers. Household GPS coordinates were used for spatial analyses. Data cleaning involved range validation, logical consistency checks, and outlier flagging. Missingness was negligible (&lt;1%); analyses were restricted to complete cases. ### Descriptive group comparisons</w:t>
      </w:r>
    </w:p>
    <w:p w14:paraId="20FA7AE1" w14:textId="77777777" w:rsidR="00535B97" w:rsidRDefault="00000000">
      <w:r>
        <w:t>To compare characteristics between villages or states, we fitted separate Bayesian models using the brms package [23] (Gaussian linear models for continuous variables; multinomial logistic regression for categorical). We defined a notable difference between groups as evidence that the variability of the outcome between villages/states was non-zero. This was assessed by examining the posterior distribution of the random effect standard deviation (SD) parameter for the grouping variable. A notable difference was concluded if the lower bound of the 95% Credible Interval (</w:t>
      </w:r>
      <w:proofErr w:type="spellStart"/>
      <w:r>
        <w:t>CrI</w:t>
      </w:r>
      <w:proofErr w:type="spellEnd"/>
      <w:r>
        <w:t>) for the SD parameter was &gt;0.1, indicating non-negligible variation.</w:t>
      </w:r>
    </w:p>
    <w:p w14:paraId="4448BFC3" w14:textId="77777777" w:rsidR="00535B97" w:rsidRDefault="00000000">
      <w:pPr>
        <w:pStyle w:val="Heading3"/>
      </w:pPr>
      <w:bookmarkStart w:id="7" w:name="estimating-lasv-seroprevalence"/>
      <w:r>
        <w:t>Estimating LASV seroprevalence</w:t>
      </w:r>
    </w:p>
    <w:p w14:paraId="35F17442" w14:textId="77777777" w:rsidR="00535B97" w:rsidRDefault="00000000">
      <w:r>
        <w:t xml:space="preserve">We estimated seroprevalence and 95% </w:t>
      </w:r>
      <w:proofErr w:type="spellStart"/>
      <w:r>
        <w:t>CrIs</w:t>
      </w:r>
      <w:proofErr w:type="spellEnd"/>
      <w:r>
        <w:t xml:space="preserve"> using Bayesian generalised linear mixed models (GLMM) with a binary outcome (seropositive/seronegative) and a single fixed effect for state or village. Posterior predictions generated marginal estimates averaged over sampled individuals. To explore age-related variation, we fitted a Bayesian generalised additive model (GAM) with village-specific smooth terms for age. Posterior expected probabilities were calculated across a grid of age values to obtain modelled estimates. The full posterior summaries (central estimates and </w:t>
      </w:r>
      <w:proofErr w:type="spellStart"/>
      <w:r>
        <w:t>CrIs</w:t>
      </w:r>
      <w:proofErr w:type="spellEnd"/>
      <w:r>
        <w:t>) for these model comparisons are presented in Supplementary Materials. Differences classed as important are indicated in the main text and tables.</w:t>
      </w:r>
    </w:p>
    <w:p w14:paraId="0B05C858" w14:textId="77777777" w:rsidR="00535B97" w:rsidRDefault="00000000">
      <w:pPr>
        <w:pStyle w:val="Heading3"/>
      </w:pPr>
      <w:bookmarkStart w:id="8" w:name="X180a46c2e25e4fe428439dedea2961781f0a018"/>
      <w:bookmarkEnd w:id="7"/>
      <w:r>
        <w:lastRenderedPageBreak/>
        <w:t>Characterising behavioural and exposure correlates of seropositivity</w:t>
      </w:r>
    </w:p>
    <w:p w14:paraId="77E38C91" w14:textId="77777777" w:rsidR="00535B97" w:rsidRDefault="00000000">
      <w:r>
        <w:t xml:space="preserve">We investigated associations between LASV seropositivity and a range of </w:t>
      </w:r>
      <w:r>
        <w:rPr>
          <w:i/>
          <w:iCs/>
        </w:rPr>
        <w:t>a priori</w:t>
      </w:r>
      <w:r>
        <w:t xml:space="preserve"> risk factors using a Bayesian GLMM framework, specifying a Bernoulli (logit) likelihood for serostatus as the binary outcome. Analyses were conducted at both individual and household levels, with explanatory variables grouped into four conceptual domains: demographic, environmental, behavioural, and occupational.</w:t>
      </w:r>
    </w:p>
    <w:p w14:paraId="6F948425" w14:textId="77777777" w:rsidR="00535B97" w:rsidRDefault="00000000">
      <w:r>
        <w:t xml:space="preserve">To account for potential non-independence of observations within villages, reflecting shared environmental, infrastructural, or cultural exposures, a random intercept for village was included in all models. Univariable models were fitted separately for each covariate to examine associations in isolation, adjusting only for village-level clustering. We evaluated the magnitude and uncertainty of potential risk factors by examining the posterior odds ratios (OR) and their 95% </w:t>
      </w:r>
      <w:proofErr w:type="spellStart"/>
      <w:r>
        <w:t>CrIs</w:t>
      </w:r>
      <w:proofErr w:type="spellEnd"/>
      <w:r>
        <w:t>. An interval that included 1.0 was interpreted as showing no strong evidence for an association.</w:t>
      </w:r>
    </w:p>
    <w:p w14:paraId="2F9E67D1" w14:textId="77777777" w:rsidR="00535B97" w:rsidRDefault="00000000">
      <w:pPr>
        <w:pStyle w:val="Heading3"/>
      </w:pPr>
      <w:bookmarkStart w:id="9" w:name="X5564f761a9ccd355fc22d7bb7efc98ad90c1a12"/>
      <w:bookmarkEnd w:id="8"/>
      <w:r>
        <w:t>Exploring spatial heterogeneity in LASV exposure</w:t>
      </w:r>
    </w:p>
    <w:p w14:paraId="6B0197D0" w14:textId="77777777" w:rsidR="00535B97" w:rsidRDefault="00000000">
      <w:r>
        <w:t xml:space="preserve">To assess spatial patterns in LASV exposure at the household level, we geocoded each sampled household and identified those with at least one seropositive individual. We first applied Global Moran’s I to test for overall spatial autocorrelation of household seropositivity within each village. To identify potential micro-scale clustering, we then used local </w:t>
      </w:r>
      <w:proofErr w:type="spellStart"/>
      <w:r>
        <w:t>Getis</w:t>
      </w:r>
      <w:proofErr w:type="spellEnd"/>
      <w:r>
        <w:t xml:space="preserve">-Ord Gi* analysis using the </w:t>
      </w:r>
      <w:proofErr w:type="spellStart"/>
      <w:r>
        <w:t>spdep</w:t>
      </w:r>
      <w:proofErr w:type="spellEnd"/>
      <w:r>
        <w:t xml:space="preserve"> package, which compares the value at each household (the proportion of seropositive members) to the values of neighbouring households within a defined spatial lag (300m), generating a z-score indicating statistically significant hot spots (high-value clusters) and cold spots (low-value clusters) [24].</w:t>
      </w:r>
    </w:p>
    <w:p w14:paraId="3729ED11" w14:textId="77777777" w:rsidR="00535B97" w:rsidRDefault="00000000">
      <w:r>
        <w:t xml:space="preserve">As a </w:t>
      </w:r>
      <w:r>
        <w:rPr>
          <w:i/>
          <w:iCs/>
        </w:rPr>
        <w:t>post hoc</w:t>
      </w:r>
      <w:r>
        <w:t xml:space="preserve"> check on the relationship between hotspot classification and seropositivity, we fit a simplified logistic regression model. This model used household serostatus </w:t>
      </w:r>
      <w:r>
        <w:lastRenderedPageBreak/>
        <w:t xml:space="preserve">(presence/absence of seropositive individuals) as the outcome and compared two groups: households located in any Gi∗-defined cluster (Hotspot or </w:t>
      </w:r>
      <w:proofErr w:type="spellStart"/>
      <w:r>
        <w:t>Coldspot</w:t>
      </w:r>
      <w:proofErr w:type="spellEnd"/>
      <w:r>
        <w:t>) versus those classified as Not Significant. This allowed us to robustly quantify the association between being in a statistically-defined cluster and the household’s observed seropositivity.</w:t>
      </w:r>
    </w:p>
    <w:p w14:paraId="5E786B3B" w14:textId="77777777" w:rsidR="00535B97" w:rsidRDefault="00000000">
      <w:r>
        <w:t>Given the low seroprevalence and relatively small village area (median = 6.7km</w:t>
      </w:r>
      <w:r>
        <w:rPr>
          <w:vertAlign w:val="superscript"/>
        </w:rPr>
        <w:t>2</w:t>
      </w:r>
      <w:r>
        <w:t>), these analyses were intended as descriptive and exploratory, with a focus on identifying potential micro-scale heterogeneity rather than formally testing for clustering.</w:t>
      </w:r>
    </w:p>
    <w:p w14:paraId="4CB6B044" w14:textId="77777777" w:rsidR="00535B97" w:rsidRDefault="00000000">
      <w:pPr>
        <w:pStyle w:val="Heading1"/>
      </w:pPr>
      <w:bookmarkStart w:id="10" w:name="results"/>
      <w:bookmarkEnd w:id="2"/>
      <w:bookmarkEnd w:id="6"/>
      <w:bookmarkEnd w:id="9"/>
      <w:r>
        <w:t>Results</w:t>
      </w:r>
    </w:p>
    <w:p w14:paraId="179507E2" w14:textId="77777777" w:rsidR="00535B97" w:rsidRDefault="00000000">
      <w:pPr>
        <w:pStyle w:val="Heading2"/>
      </w:pPr>
      <w:bookmarkStart w:id="11" w:name="study-population"/>
      <w:r>
        <w:t>Study population</w:t>
      </w:r>
    </w:p>
    <w:p w14:paraId="4B5C2126" w14:textId="77777777" w:rsidR="00535B97" w:rsidRDefault="00000000">
      <w:r>
        <w:t>Between 16 December 2023 and 22 July 2024, we enrolled 1,926 individuals (1,874 obtained DBS samples, 1,469 completed questionnaires) from 577 households across nine villages in three Nigerian states (BN, CR, EB). This sample represented 27% of households and 11% of the expected total village population (Table 1, Table 2 and Supplementary Table 1).</w:t>
      </w:r>
    </w:p>
    <w:p w14:paraId="2870838D" w14:textId="77777777" w:rsidR="00535B97" w:rsidRDefault="00000000">
      <w:pPr>
        <w:pStyle w:val="Heading2"/>
      </w:pPr>
      <w:bookmarkStart w:id="12" w:name="households"/>
      <w:bookmarkEnd w:id="11"/>
      <w:r>
        <w:t>Households</w:t>
      </w:r>
    </w:p>
    <w:p w14:paraId="7F737C67" w14:textId="77777777" w:rsidR="00535B97" w:rsidRDefault="00000000">
      <w:r>
        <w:t xml:space="preserve">Household composition and infrastructure showed notable variation across the study villages, particularly in household structure (Table 1). There was strong evidence of differences in household size, ranging from median sizes of 8 in Dyegh [BN] to 4 in </w:t>
      </w:r>
      <w:proofErr w:type="spellStart"/>
      <w:r>
        <w:t>Ofonekom</w:t>
      </w:r>
      <w:proofErr w:type="spellEnd"/>
      <w:r>
        <w:t xml:space="preserve"> [CR]. Similarly, the number of buildings per household and number of single-room buildings differed substantially between villages, with households in BN generally being larger and comprising more buildings.</w:t>
      </w:r>
    </w:p>
    <w:p w14:paraId="0C7886DD" w14:textId="77777777" w:rsidR="00535B97" w:rsidRDefault="00000000">
      <w:r>
        <w:lastRenderedPageBreak/>
        <w:t>Environmental characteristics were more consistent across sites. Proximity to bush (51%) and farms (66%), predominant sanitation method (field defecation: 80%), and rodent entry into homes (94%) did not show strong evidence of differing between villages.</w:t>
      </w:r>
    </w:p>
    <w:p w14:paraId="06DA811D" w14:textId="77777777" w:rsidR="00535B97" w:rsidRDefault="00000000">
      <w:r>
        <w:t>Households employed various methods for rodent removal (Supplementary Materials Table 1). In contrast to the uniformity of rodent entry, our analysis found strong evidence that the specific methods used, such as poison (73%), sticks (44%), and traps, varied substantially between villages. However, the ultimate outcome for captured rodents was largely consistent; 88% of households reported disposing of them. While disposal was uniform, the practice of consuming captured rodents did show notable variation between villages, consistent with the individual-level data (Table 2).</w:t>
      </w:r>
    </w:p>
    <w:tbl>
      <w:tblPr>
        <w:tblW w:w="0" w:type="auto"/>
        <w:tblCellMar>
          <w:left w:w="60" w:type="dxa"/>
          <w:right w:w="60" w:type="dxa"/>
        </w:tblCellMar>
        <w:tblLook w:val="0000" w:firstRow="0" w:lastRow="0" w:firstColumn="0" w:lastColumn="0" w:noHBand="0" w:noVBand="0"/>
      </w:tblPr>
      <w:tblGrid>
        <w:gridCol w:w="1048"/>
        <w:gridCol w:w="358"/>
        <w:gridCol w:w="583"/>
        <w:gridCol w:w="524"/>
        <w:gridCol w:w="528"/>
        <w:gridCol w:w="939"/>
        <w:gridCol w:w="953"/>
        <w:gridCol w:w="824"/>
        <w:gridCol w:w="801"/>
        <w:gridCol w:w="841"/>
        <w:gridCol w:w="958"/>
        <w:gridCol w:w="669"/>
      </w:tblGrid>
      <w:tr w:rsidR="00535B97" w:rsidRPr="0035420C" w14:paraId="3AE3FE05" w14:textId="77777777" w:rsidTr="0035420C">
        <w:trPr>
          <w:cantSplit/>
          <w:tblHeader/>
        </w:trPr>
        <w:tc>
          <w:tcPr>
            <w:tcW w:w="0" w:type="auto"/>
            <w:tcBorders>
              <w:top w:val="single" w:sz="16" w:space="0" w:color="D3D3D3"/>
              <w:left w:val="single" w:sz="0" w:space="0" w:color="D3D3D3"/>
            </w:tcBorders>
          </w:tcPr>
          <w:p w14:paraId="0797EB30" w14:textId="77777777" w:rsidR="00535B97" w:rsidRPr="0035420C" w:rsidRDefault="00535B97" w:rsidP="0035420C">
            <w:pPr>
              <w:keepNext/>
              <w:spacing w:before="0" w:after="60" w:line="240" w:lineRule="auto"/>
              <w:rPr>
                <w:sz w:val="16"/>
                <w:szCs w:val="16"/>
              </w:rPr>
            </w:pPr>
          </w:p>
        </w:tc>
        <w:tc>
          <w:tcPr>
            <w:tcW w:w="0" w:type="auto"/>
            <w:tcBorders>
              <w:top w:val="single" w:sz="16" w:space="0" w:color="D3D3D3"/>
            </w:tcBorders>
          </w:tcPr>
          <w:p w14:paraId="6A264602" w14:textId="77777777" w:rsidR="00535B97" w:rsidRPr="0035420C" w:rsidRDefault="00535B97" w:rsidP="0035420C">
            <w:pPr>
              <w:keepNext/>
              <w:spacing w:before="0" w:after="60" w:line="240" w:lineRule="auto"/>
              <w:rPr>
                <w:sz w:val="16"/>
                <w:szCs w:val="16"/>
              </w:rPr>
            </w:pPr>
          </w:p>
        </w:tc>
        <w:tc>
          <w:tcPr>
            <w:tcW w:w="0" w:type="auto"/>
            <w:tcBorders>
              <w:top w:val="single" w:sz="16" w:space="0" w:color="D3D3D3"/>
            </w:tcBorders>
          </w:tcPr>
          <w:p w14:paraId="5958B60F" w14:textId="77777777" w:rsidR="00535B97" w:rsidRPr="0035420C" w:rsidRDefault="00535B97" w:rsidP="0035420C">
            <w:pPr>
              <w:keepNext/>
              <w:spacing w:before="0" w:after="60" w:line="240" w:lineRule="auto"/>
              <w:rPr>
                <w:sz w:val="16"/>
                <w:szCs w:val="16"/>
              </w:rPr>
            </w:pPr>
          </w:p>
        </w:tc>
        <w:tc>
          <w:tcPr>
            <w:tcW w:w="0" w:type="auto"/>
            <w:gridSpan w:val="3"/>
            <w:tcBorders>
              <w:top w:val="single" w:sz="16" w:space="0" w:color="D3D3D3"/>
              <w:bottom w:val="single" w:sz="16" w:space="0" w:color="D3D3D3"/>
            </w:tcBorders>
          </w:tcPr>
          <w:p w14:paraId="3B4D368A"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Benue [BN]</w:t>
            </w:r>
          </w:p>
        </w:tc>
        <w:tc>
          <w:tcPr>
            <w:tcW w:w="0" w:type="auto"/>
            <w:gridSpan w:val="3"/>
            <w:tcBorders>
              <w:top w:val="single" w:sz="16" w:space="0" w:color="D3D3D3"/>
              <w:bottom w:val="single" w:sz="16" w:space="0" w:color="D3D3D3"/>
            </w:tcBorders>
          </w:tcPr>
          <w:p w14:paraId="1C3224DA"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Cross River [CR]</w:t>
            </w:r>
          </w:p>
        </w:tc>
        <w:tc>
          <w:tcPr>
            <w:tcW w:w="0" w:type="auto"/>
            <w:gridSpan w:val="3"/>
            <w:tcBorders>
              <w:top w:val="single" w:sz="16" w:space="0" w:color="D3D3D3"/>
              <w:bottom w:val="single" w:sz="16" w:space="0" w:color="D3D3D3"/>
              <w:right w:val="single" w:sz="0" w:space="0" w:color="D3D3D3"/>
            </w:tcBorders>
          </w:tcPr>
          <w:p w14:paraId="4ABC7512"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Ebonyi [EB]</w:t>
            </w:r>
          </w:p>
        </w:tc>
      </w:tr>
      <w:tr w:rsidR="00535B97" w:rsidRPr="0035420C" w14:paraId="60658BFC" w14:textId="77777777" w:rsidTr="0035420C">
        <w:trPr>
          <w:cantSplit/>
          <w:tblHeader/>
        </w:trPr>
        <w:tc>
          <w:tcPr>
            <w:tcW w:w="0" w:type="auto"/>
            <w:tcBorders>
              <w:left w:val="single" w:sz="0" w:space="0" w:color="D3D3D3"/>
              <w:bottom w:val="single" w:sz="16" w:space="0" w:color="D3D3D3"/>
            </w:tcBorders>
          </w:tcPr>
          <w:p w14:paraId="5794CE6C"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Characteristic</w:t>
            </w:r>
          </w:p>
        </w:tc>
        <w:tc>
          <w:tcPr>
            <w:tcW w:w="0" w:type="auto"/>
            <w:tcBorders>
              <w:bottom w:val="single" w:sz="16" w:space="0" w:color="D3D3D3"/>
            </w:tcBorders>
          </w:tcPr>
          <w:p w14:paraId="02BFDF74"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N</w:t>
            </w:r>
          </w:p>
        </w:tc>
        <w:tc>
          <w:tcPr>
            <w:tcW w:w="0" w:type="auto"/>
            <w:tcBorders>
              <w:bottom w:val="single" w:sz="16" w:space="0" w:color="D3D3D3"/>
            </w:tcBorders>
          </w:tcPr>
          <w:p w14:paraId="15EC0CEE"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Overall</w:t>
            </w:r>
            <w:r w:rsidRPr="0035420C">
              <w:rPr>
                <w:rFonts w:ascii="Calibri" w:hAnsi="Calibri"/>
                <w:sz w:val="16"/>
                <w:szCs w:val="16"/>
              </w:rPr>
              <w:t xml:space="preserve"> N = 577</w:t>
            </w:r>
            <w:r w:rsidRPr="0035420C">
              <w:rPr>
                <w:rFonts w:ascii="Calibri" w:hAnsi="Calibri"/>
                <w:i/>
                <w:sz w:val="16"/>
                <w:szCs w:val="16"/>
                <w:vertAlign w:val="superscript"/>
              </w:rPr>
              <w:t>1</w:t>
            </w:r>
          </w:p>
        </w:tc>
        <w:tc>
          <w:tcPr>
            <w:tcW w:w="0" w:type="auto"/>
            <w:tcBorders>
              <w:bottom w:val="single" w:sz="16" w:space="0" w:color="D3D3D3"/>
            </w:tcBorders>
          </w:tcPr>
          <w:p w14:paraId="1BB8CB40"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Zugu</w:t>
            </w:r>
            <w:r w:rsidRPr="0035420C">
              <w:rPr>
                <w:rFonts w:ascii="Calibri" w:hAnsi="Calibri"/>
                <w:sz w:val="16"/>
                <w:szCs w:val="16"/>
              </w:rPr>
              <w:t xml:space="preserve"> N = 63</w:t>
            </w:r>
            <w:r w:rsidRPr="0035420C">
              <w:rPr>
                <w:rFonts w:ascii="Calibri" w:hAnsi="Calibri"/>
                <w:i/>
                <w:sz w:val="16"/>
                <w:szCs w:val="16"/>
                <w:vertAlign w:val="superscript"/>
              </w:rPr>
              <w:t>1</w:t>
            </w:r>
          </w:p>
        </w:tc>
        <w:tc>
          <w:tcPr>
            <w:tcW w:w="0" w:type="auto"/>
            <w:tcBorders>
              <w:bottom w:val="single" w:sz="16" w:space="0" w:color="D3D3D3"/>
            </w:tcBorders>
          </w:tcPr>
          <w:p w14:paraId="1B5A16FE"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Dyegh</w:t>
            </w:r>
            <w:r w:rsidRPr="0035420C">
              <w:rPr>
                <w:rFonts w:ascii="Calibri" w:hAnsi="Calibri"/>
                <w:sz w:val="16"/>
                <w:szCs w:val="16"/>
              </w:rPr>
              <w:t xml:space="preserve"> N = 64</w:t>
            </w:r>
            <w:r w:rsidRPr="0035420C">
              <w:rPr>
                <w:rFonts w:ascii="Calibri" w:hAnsi="Calibri"/>
                <w:i/>
                <w:sz w:val="16"/>
                <w:szCs w:val="16"/>
                <w:vertAlign w:val="superscript"/>
              </w:rPr>
              <w:t>1</w:t>
            </w:r>
          </w:p>
        </w:tc>
        <w:tc>
          <w:tcPr>
            <w:tcW w:w="0" w:type="auto"/>
            <w:tcBorders>
              <w:bottom w:val="single" w:sz="16" w:space="0" w:color="D3D3D3"/>
            </w:tcBorders>
          </w:tcPr>
          <w:p w14:paraId="6A30BF59"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Ikyogbakpev</w:t>
            </w:r>
            <w:proofErr w:type="spellEnd"/>
            <w:r w:rsidRPr="0035420C">
              <w:rPr>
                <w:rFonts w:ascii="Calibri" w:hAnsi="Calibri"/>
                <w:sz w:val="16"/>
                <w:szCs w:val="16"/>
              </w:rPr>
              <w:t xml:space="preserve"> N = 64</w:t>
            </w:r>
            <w:r w:rsidRPr="0035420C">
              <w:rPr>
                <w:rFonts w:ascii="Calibri" w:hAnsi="Calibri"/>
                <w:i/>
                <w:sz w:val="16"/>
                <w:szCs w:val="16"/>
                <w:vertAlign w:val="superscript"/>
              </w:rPr>
              <w:t>1</w:t>
            </w:r>
          </w:p>
        </w:tc>
        <w:tc>
          <w:tcPr>
            <w:tcW w:w="0" w:type="auto"/>
            <w:tcBorders>
              <w:bottom w:val="single" w:sz="16" w:space="0" w:color="D3D3D3"/>
            </w:tcBorders>
          </w:tcPr>
          <w:p w14:paraId="6B29B88F"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Okimbongha</w:t>
            </w:r>
            <w:r w:rsidRPr="0035420C">
              <w:rPr>
                <w:rFonts w:ascii="Calibri" w:hAnsi="Calibri"/>
                <w:sz w:val="16"/>
                <w:szCs w:val="16"/>
              </w:rPr>
              <w:t xml:space="preserve"> N = 64</w:t>
            </w:r>
            <w:r w:rsidRPr="0035420C">
              <w:rPr>
                <w:rFonts w:ascii="Calibri" w:hAnsi="Calibri"/>
                <w:i/>
                <w:sz w:val="16"/>
                <w:szCs w:val="16"/>
                <w:vertAlign w:val="superscript"/>
              </w:rPr>
              <w:t>1</w:t>
            </w:r>
          </w:p>
        </w:tc>
        <w:tc>
          <w:tcPr>
            <w:tcW w:w="0" w:type="auto"/>
            <w:tcBorders>
              <w:bottom w:val="single" w:sz="16" w:space="0" w:color="D3D3D3"/>
            </w:tcBorders>
          </w:tcPr>
          <w:p w14:paraId="3A9A3020"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Ogamanna</w:t>
            </w:r>
            <w:r w:rsidRPr="0035420C">
              <w:rPr>
                <w:rFonts w:ascii="Calibri" w:hAnsi="Calibri"/>
                <w:sz w:val="16"/>
                <w:szCs w:val="16"/>
              </w:rPr>
              <w:t xml:space="preserve"> N = 66</w:t>
            </w:r>
            <w:r w:rsidRPr="0035420C">
              <w:rPr>
                <w:rFonts w:ascii="Calibri" w:hAnsi="Calibri"/>
                <w:i/>
                <w:sz w:val="16"/>
                <w:szCs w:val="16"/>
                <w:vertAlign w:val="superscript"/>
              </w:rPr>
              <w:t>1</w:t>
            </w:r>
          </w:p>
        </w:tc>
        <w:tc>
          <w:tcPr>
            <w:tcW w:w="0" w:type="auto"/>
            <w:tcBorders>
              <w:bottom w:val="single" w:sz="16" w:space="0" w:color="D3D3D3"/>
            </w:tcBorders>
          </w:tcPr>
          <w:p w14:paraId="4834FDF0"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Ofonekom</w:t>
            </w:r>
            <w:proofErr w:type="spellEnd"/>
            <w:r w:rsidRPr="0035420C">
              <w:rPr>
                <w:rFonts w:ascii="Calibri" w:hAnsi="Calibri"/>
                <w:sz w:val="16"/>
                <w:szCs w:val="16"/>
              </w:rPr>
              <w:t xml:space="preserve"> N = 61</w:t>
            </w:r>
            <w:r w:rsidRPr="0035420C">
              <w:rPr>
                <w:rFonts w:ascii="Calibri" w:hAnsi="Calibri"/>
                <w:i/>
                <w:sz w:val="16"/>
                <w:szCs w:val="16"/>
                <w:vertAlign w:val="superscript"/>
              </w:rPr>
              <w:t>1</w:t>
            </w:r>
          </w:p>
        </w:tc>
        <w:tc>
          <w:tcPr>
            <w:tcW w:w="0" w:type="auto"/>
            <w:tcBorders>
              <w:bottom w:val="single" w:sz="16" w:space="0" w:color="D3D3D3"/>
            </w:tcBorders>
          </w:tcPr>
          <w:p w14:paraId="33FEB083"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Ezeakataka</w:t>
            </w:r>
            <w:proofErr w:type="spellEnd"/>
            <w:r w:rsidRPr="0035420C">
              <w:rPr>
                <w:rFonts w:ascii="Calibri" w:hAnsi="Calibri"/>
                <w:sz w:val="16"/>
                <w:szCs w:val="16"/>
              </w:rPr>
              <w:t xml:space="preserve"> N = 66</w:t>
            </w:r>
            <w:r w:rsidRPr="0035420C">
              <w:rPr>
                <w:rFonts w:ascii="Calibri" w:hAnsi="Calibri"/>
                <w:i/>
                <w:sz w:val="16"/>
                <w:szCs w:val="16"/>
                <w:vertAlign w:val="superscript"/>
              </w:rPr>
              <w:t>1</w:t>
            </w:r>
          </w:p>
        </w:tc>
        <w:tc>
          <w:tcPr>
            <w:tcW w:w="0" w:type="auto"/>
            <w:tcBorders>
              <w:bottom w:val="single" w:sz="16" w:space="0" w:color="D3D3D3"/>
            </w:tcBorders>
          </w:tcPr>
          <w:p w14:paraId="4CC660A4"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Enyandulogu</w:t>
            </w:r>
            <w:proofErr w:type="spellEnd"/>
            <w:r w:rsidRPr="0035420C">
              <w:rPr>
                <w:rFonts w:ascii="Calibri" w:hAnsi="Calibri"/>
                <w:sz w:val="16"/>
                <w:szCs w:val="16"/>
              </w:rPr>
              <w:t xml:space="preserve"> N = 65</w:t>
            </w:r>
            <w:r w:rsidRPr="0035420C">
              <w:rPr>
                <w:rFonts w:ascii="Calibri" w:hAnsi="Calibri"/>
                <w:i/>
                <w:sz w:val="16"/>
                <w:szCs w:val="16"/>
                <w:vertAlign w:val="superscript"/>
              </w:rPr>
              <w:t>1</w:t>
            </w:r>
          </w:p>
        </w:tc>
        <w:tc>
          <w:tcPr>
            <w:tcW w:w="0" w:type="auto"/>
            <w:tcBorders>
              <w:bottom w:val="single" w:sz="16" w:space="0" w:color="D3D3D3"/>
              <w:right w:val="single" w:sz="0" w:space="0" w:color="D3D3D3"/>
            </w:tcBorders>
          </w:tcPr>
          <w:p w14:paraId="71763F41"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Offianka</w:t>
            </w:r>
            <w:proofErr w:type="spellEnd"/>
            <w:r w:rsidRPr="0035420C">
              <w:rPr>
                <w:rFonts w:ascii="Calibri" w:hAnsi="Calibri"/>
                <w:sz w:val="16"/>
                <w:szCs w:val="16"/>
              </w:rPr>
              <w:t xml:space="preserve"> N = 64</w:t>
            </w:r>
            <w:r w:rsidRPr="0035420C">
              <w:rPr>
                <w:rFonts w:ascii="Calibri" w:hAnsi="Calibri"/>
                <w:i/>
                <w:sz w:val="16"/>
                <w:szCs w:val="16"/>
                <w:vertAlign w:val="superscript"/>
              </w:rPr>
              <w:t>1</w:t>
            </w:r>
          </w:p>
        </w:tc>
      </w:tr>
      <w:tr w:rsidR="00535B97" w:rsidRPr="0035420C" w14:paraId="77F6E72E"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32B827A0"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Number of households</w:t>
            </w:r>
            <w:r w:rsidRPr="0035420C">
              <w:rPr>
                <w:rFonts w:ascii="Calibri" w:hAnsi="Calibri"/>
                <w:b/>
                <w:i/>
                <w:sz w:val="16"/>
                <w:szCs w:val="16"/>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5DD5003C"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4F76F93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2431FF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205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42D81E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305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0DC249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149 (43%)</w:t>
            </w:r>
          </w:p>
        </w:tc>
        <w:tc>
          <w:tcPr>
            <w:tcW w:w="0" w:type="auto"/>
            <w:tcBorders>
              <w:top w:val="single" w:sz="0" w:space="0" w:color="D3D3D3"/>
              <w:left w:val="single" w:sz="0" w:space="0" w:color="D3D3D3"/>
              <w:bottom w:val="single" w:sz="0" w:space="0" w:color="D3D3D3"/>
              <w:right w:val="single" w:sz="0" w:space="0" w:color="D3D3D3"/>
            </w:tcBorders>
          </w:tcPr>
          <w:p w14:paraId="7875D51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191 (34%)</w:t>
            </w:r>
          </w:p>
        </w:tc>
        <w:tc>
          <w:tcPr>
            <w:tcW w:w="0" w:type="auto"/>
            <w:tcBorders>
              <w:top w:val="single" w:sz="0" w:space="0" w:color="D3D3D3"/>
              <w:left w:val="single" w:sz="0" w:space="0" w:color="D3D3D3"/>
              <w:bottom w:val="single" w:sz="0" w:space="0" w:color="D3D3D3"/>
              <w:right w:val="single" w:sz="0" w:space="0" w:color="D3D3D3"/>
            </w:tcBorders>
          </w:tcPr>
          <w:p w14:paraId="5B7C60F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231 (29%)</w:t>
            </w:r>
          </w:p>
        </w:tc>
        <w:tc>
          <w:tcPr>
            <w:tcW w:w="0" w:type="auto"/>
            <w:tcBorders>
              <w:top w:val="single" w:sz="0" w:space="0" w:color="D3D3D3"/>
              <w:left w:val="single" w:sz="0" w:space="0" w:color="D3D3D3"/>
              <w:bottom w:val="single" w:sz="0" w:space="0" w:color="D3D3D3"/>
              <w:right w:val="single" w:sz="0" w:space="0" w:color="D3D3D3"/>
            </w:tcBorders>
          </w:tcPr>
          <w:p w14:paraId="4DA1CC8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110 (55%)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2F881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321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183E32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281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ADDCA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381 (17%)</w:t>
            </w:r>
          </w:p>
        </w:tc>
      </w:tr>
      <w:tr w:rsidR="00535B97" w:rsidRPr="0035420C" w14:paraId="48CE64BD"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560FBADB"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Household size (individuals)*</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34805A2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3B10121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291E5F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2306C7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8.0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6BD86A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7.0 (4.0)</w:t>
            </w:r>
          </w:p>
        </w:tc>
        <w:tc>
          <w:tcPr>
            <w:tcW w:w="0" w:type="auto"/>
            <w:tcBorders>
              <w:top w:val="single" w:sz="0" w:space="0" w:color="D3D3D3"/>
              <w:left w:val="single" w:sz="0" w:space="0" w:color="D3D3D3"/>
              <w:bottom w:val="single" w:sz="0" w:space="0" w:color="D3D3D3"/>
              <w:right w:val="single" w:sz="0" w:space="0" w:color="D3D3D3"/>
            </w:tcBorders>
          </w:tcPr>
          <w:p w14:paraId="5FE4108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(3.3)</w:t>
            </w:r>
          </w:p>
        </w:tc>
        <w:tc>
          <w:tcPr>
            <w:tcW w:w="0" w:type="auto"/>
            <w:tcBorders>
              <w:top w:val="single" w:sz="0" w:space="0" w:color="D3D3D3"/>
              <w:left w:val="single" w:sz="0" w:space="0" w:color="D3D3D3"/>
              <w:bottom w:val="single" w:sz="0" w:space="0" w:color="D3D3D3"/>
              <w:right w:val="single" w:sz="0" w:space="0" w:color="D3D3D3"/>
            </w:tcBorders>
          </w:tcPr>
          <w:p w14:paraId="4B5A22A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(3.8)</w:t>
            </w:r>
          </w:p>
        </w:tc>
        <w:tc>
          <w:tcPr>
            <w:tcW w:w="0" w:type="auto"/>
            <w:tcBorders>
              <w:top w:val="single" w:sz="0" w:space="0" w:color="D3D3D3"/>
              <w:left w:val="single" w:sz="0" w:space="0" w:color="D3D3D3"/>
              <w:bottom w:val="single" w:sz="0" w:space="0" w:color="D3D3D3"/>
              <w:right w:val="single" w:sz="0" w:space="0" w:color="D3D3D3"/>
            </w:tcBorders>
          </w:tcPr>
          <w:p w14:paraId="5BF0D2F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0DAF7B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B5E367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5B7CC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(3.0)</w:t>
            </w:r>
          </w:p>
        </w:tc>
      </w:tr>
      <w:tr w:rsidR="00535B97" w:rsidRPr="0035420C" w14:paraId="315D502A"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30FB71F7"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Household seropositivity</w:t>
            </w:r>
            <w:r w:rsidRPr="0035420C">
              <w:rPr>
                <w:rFonts w:ascii="Calibri" w:hAnsi="Calibri"/>
                <w:b/>
                <w:i/>
                <w:sz w:val="16"/>
                <w:szCs w:val="16"/>
                <w:vertAlign w:val="superscript"/>
              </w:rPr>
              <w:t>4</w:t>
            </w:r>
          </w:p>
        </w:tc>
        <w:tc>
          <w:tcPr>
            <w:tcW w:w="0" w:type="auto"/>
            <w:tcBorders>
              <w:top w:val="single" w:sz="0" w:space="0" w:color="D3D3D3"/>
              <w:left w:val="single" w:sz="0" w:space="0" w:color="D3D3D3"/>
              <w:bottom w:val="single" w:sz="0" w:space="0" w:color="D3D3D3"/>
              <w:right w:val="single" w:sz="0" w:space="0" w:color="D3D3D3"/>
            </w:tcBorders>
          </w:tcPr>
          <w:p w14:paraId="394FD9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555</w:t>
            </w:r>
          </w:p>
        </w:tc>
        <w:tc>
          <w:tcPr>
            <w:tcW w:w="0" w:type="auto"/>
            <w:tcBorders>
              <w:top w:val="single" w:sz="0" w:space="0" w:color="D3D3D3"/>
              <w:left w:val="single" w:sz="0" w:space="0" w:color="D3D3D3"/>
              <w:bottom w:val="single" w:sz="0" w:space="0" w:color="D3D3D3"/>
              <w:right w:val="single" w:sz="0" w:space="0" w:color="D3D3D3"/>
            </w:tcBorders>
          </w:tcPr>
          <w:p w14:paraId="474EB296"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25F6C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878819E"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21137A7"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4990F6C8"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59582CD3"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26BC7026"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6271EF3"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5DB0C25"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6DC64C" w14:textId="77777777" w:rsidR="00535B97" w:rsidRPr="0035420C" w:rsidRDefault="00535B97" w:rsidP="0035420C">
            <w:pPr>
              <w:keepNext/>
              <w:spacing w:before="0" w:after="60" w:line="240" w:lineRule="auto"/>
              <w:jc w:val="center"/>
              <w:rPr>
                <w:sz w:val="16"/>
                <w:szCs w:val="16"/>
              </w:rPr>
            </w:pPr>
          </w:p>
        </w:tc>
      </w:tr>
      <w:tr w:rsidR="00535B97" w:rsidRPr="0035420C" w14:paraId="438916FE"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63D92D27"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All negative</w:t>
            </w:r>
          </w:p>
        </w:tc>
        <w:tc>
          <w:tcPr>
            <w:tcW w:w="0" w:type="auto"/>
            <w:tcBorders>
              <w:top w:val="single" w:sz="0" w:space="0" w:color="D3D3D3"/>
              <w:left w:val="single" w:sz="0" w:space="0" w:color="D3D3D3"/>
              <w:bottom w:val="single" w:sz="0" w:space="0" w:color="D3D3D3"/>
              <w:right w:val="single" w:sz="0" w:space="0" w:color="D3D3D3"/>
            </w:tcBorders>
          </w:tcPr>
          <w:p w14:paraId="1DA61F77"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0911DA1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496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CE8979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20C89F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616C51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 (91%)</w:t>
            </w:r>
          </w:p>
        </w:tc>
        <w:tc>
          <w:tcPr>
            <w:tcW w:w="0" w:type="auto"/>
            <w:tcBorders>
              <w:top w:val="single" w:sz="0" w:space="0" w:color="D3D3D3"/>
              <w:left w:val="single" w:sz="0" w:space="0" w:color="D3D3D3"/>
              <w:bottom w:val="single" w:sz="0" w:space="0" w:color="D3D3D3"/>
              <w:right w:val="single" w:sz="0" w:space="0" w:color="D3D3D3"/>
            </w:tcBorders>
          </w:tcPr>
          <w:p w14:paraId="7292F75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43 (73%)</w:t>
            </w:r>
          </w:p>
        </w:tc>
        <w:tc>
          <w:tcPr>
            <w:tcW w:w="0" w:type="auto"/>
            <w:tcBorders>
              <w:top w:val="single" w:sz="0" w:space="0" w:color="D3D3D3"/>
              <w:left w:val="single" w:sz="0" w:space="0" w:color="D3D3D3"/>
              <w:bottom w:val="single" w:sz="0" w:space="0" w:color="D3D3D3"/>
              <w:right w:val="single" w:sz="0" w:space="0" w:color="D3D3D3"/>
            </w:tcBorders>
          </w:tcPr>
          <w:p w14:paraId="0B26A59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53 (80%)</w:t>
            </w:r>
          </w:p>
        </w:tc>
        <w:tc>
          <w:tcPr>
            <w:tcW w:w="0" w:type="auto"/>
            <w:tcBorders>
              <w:top w:val="single" w:sz="0" w:space="0" w:color="D3D3D3"/>
              <w:left w:val="single" w:sz="0" w:space="0" w:color="D3D3D3"/>
              <w:bottom w:val="single" w:sz="0" w:space="0" w:color="D3D3D3"/>
              <w:right w:val="single" w:sz="0" w:space="0" w:color="D3D3D3"/>
            </w:tcBorders>
          </w:tcPr>
          <w:p w14:paraId="64AC1AB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42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98A2F3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64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542C63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61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DBB3FB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59 (92%)</w:t>
            </w:r>
          </w:p>
        </w:tc>
      </w:tr>
      <w:tr w:rsidR="00535B97" w:rsidRPr="0035420C" w14:paraId="39AB203B"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7D43E650"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At least one positive</w:t>
            </w:r>
          </w:p>
        </w:tc>
        <w:tc>
          <w:tcPr>
            <w:tcW w:w="0" w:type="auto"/>
            <w:tcBorders>
              <w:top w:val="single" w:sz="0" w:space="0" w:color="D3D3D3"/>
              <w:left w:val="single" w:sz="0" w:space="0" w:color="D3D3D3"/>
              <w:bottom w:val="single" w:sz="0" w:space="0" w:color="D3D3D3"/>
              <w:right w:val="single" w:sz="0" w:space="0" w:color="D3D3D3"/>
            </w:tcBorders>
          </w:tcPr>
          <w:p w14:paraId="30E77550"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3A8C476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59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9CA70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C11C4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1677E8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(9.4%)</w:t>
            </w:r>
          </w:p>
        </w:tc>
        <w:tc>
          <w:tcPr>
            <w:tcW w:w="0" w:type="auto"/>
            <w:tcBorders>
              <w:top w:val="single" w:sz="0" w:space="0" w:color="D3D3D3"/>
              <w:left w:val="single" w:sz="0" w:space="0" w:color="D3D3D3"/>
              <w:bottom w:val="single" w:sz="0" w:space="0" w:color="D3D3D3"/>
              <w:right w:val="single" w:sz="0" w:space="0" w:color="D3D3D3"/>
            </w:tcBorders>
          </w:tcPr>
          <w:p w14:paraId="4A6CEE1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 (27%)</w:t>
            </w:r>
          </w:p>
        </w:tc>
        <w:tc>
          <w:tcPr>
            <w:tcW w:w="0" w:type="auto"/>
            <w:tcBorders>
              <w:top w:val="single" w:sz="0" w:space="0" w:color="D3D3D3"/>
              <w:left w:val="single" w:sz="0" w:space="0" w:color="D3D3D3"/>
              <w:bottom w:val="single" w:sz="0" w:space="0" w:color="D3D3D3"/>
              <w:right w:val="single" w:sz="0" w:space="0" w:color="D3D3D3"/>
            </w:tcBorders>
          </w:tcPr>
          <w:p w14:paraId="4FF77A7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(20%)</w:t>
            </w:r>
          </w:p>
        </w:tc>
        <w:tc>
          <w:tcPr>
            <w:tcW w:w="0" w:type="auto"/>
            <w:tcBorders>
              <w:top w:val="single" w:sz="0" w:space="0" w:color="D3D3D3"/>
              <w:left w:val="single" w:sz="0" w:space="0" w:color="D3D3D3"/>
              <w:bottom w:val="single" w:sz="0" w:space="0" w:color="D3D3D3"/>
              <w:right w:val="single" w:sz="0" w:space="0" w:color="D3D3D3"/>
            </w:tcBorders>
          </w:tcPr>
          <w:p w14:paraId="64212BD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79B114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2F2792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 (6.2%)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B1FAFE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 (7.8%)</w:t>
            </w:r>
          </w:p>
        </w:tc>
      </w:tr>
      <w:tr w:rsidR="00535B97" w:rsidRPr="0035420C" w14:paraId="5AD890B1"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75005B03"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Number of buildings*</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29B06B4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7010D09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0203C5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B730F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3.5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DE546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(3.0)</w:t>
            </w:r>
          </w:p>
        </w:tc>
        <w:tc>
          <w:tcPr>
            <w:tcW w:w="0" w:type="auto"/>
            <w:tcBorders>
              <w:top w:val="single" w:sz="0" w:space="0" w:color="D3D3D3"/>
              <w:left w:val="single" w:sz="0" w:space="0" w:color="D3D3D3"/>
              <w:bottom w:val="single" w:sz="0" w:space="0" w:color="D3D3D3"/>
              <w:right w:val="single" w:sz="0" w:space="0" w:color="D3D3D3"/>
            </w:tcBorders>
          </w:tcPr>
          <w:p w14:paraId="3958401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 (0.0)</w:t>
            </w:r>
          </w:p>
        </w:tc>
        <w:tc>
          <w:tcPr>
            <w:tcW w:w="0" w:type="auto"/>
            <w:tcBorders>
              <w:top w:val="single" w:sz="0" w:space="0" w:color="D3D3D3"/>
              <w:left w:val="single" w:sz="0" w:space="0" w:color="D3D3D3"/>
              <w:bottom w:val="single" w:sz="0" w:space="0" w:color="D3D3D3"/>
              <w:right w:val="single" w:sz="0" w:space="0" w:color="D3D3D3"/>
            </w:tcBorders>
          </w:tcPr>
          <w:p w14:paraId="099FA24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 (0.0)</w:t>
            </w:r>
          </w:p>
        </w:tc>
        <w:tc>
          <w:tcPr>
            <w:tcW w:w="0" w:type="auto"/>
            <w:tcBorders>
              <w:top w:val="single" w:sz="0" w:space="0" w:color="D3D3D3"/>
              <w:left w:val="single" w:sz="0" w:space="0" w:color="D3D3D3"/>
              <w:bottom w:val="single" w:sz="0" w:space="0" w:color="D3D3D3"/>
              <w:right w:val="single" w:sz="0" w:space="0" w:color="D3D3D3"/>
            </w:tcBorders>
          </w:tcPr>
          <w:p w14:paraId="4C2225A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 (0.0)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50C8FE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DF8746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F960F6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(2.0)</w:t>
            </w:r>
          </w:p>
        </w:tc>
      </w:tr>
      <w:tr w:rsidR="00535B97" w:rsidRPr="0035420C" w14:paraId="66D1002D"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4133C6B2"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Single-room buildings*</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7A5A5FD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781AEE3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C32197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90891F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8D4D4D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(3.0)</w:t>
            </w:r>
          </w:p>
        </w:tc>
        <w:tc>
          <w:tcPr>
            <w:tcW w:w="0" w:type="auto"/>
            <w:tcBorders>
              <w:top w:val="single" w:sz="0" w:space="0" w:color="D3D3D3"/>
              <w:left w:val="single" w:sz="0" w:space="0" w:color="D3D3D3"/>
              <w:bottom w:val="single" w:sz="0" w:space="0" w:color="D3D3D3"/>
              <w:right w:val="single" w:sz="0" w:space="0" w:color="D3D3D3"/>
            </w:tcBorders>
          </w:tcPr>
          <w:p w14:paraId="67F5748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(1.0)</w:t>
            </w:r>
          </w:p>
        </w:tc>
        <w:tc>
          <w:tcPr>
            <w:tcW w:w="0" w:type="auto"/>
            <w:tcBorders>
              <w:top w:val="single" w:sz="0" w:space="0" w:color="D3D3D3"/>
              <w:left w:val="single" w:sz="0" w:space="0" w:color="D3D3D3"/>
              <w:bottom w:val="single" w:sz="0" w:space="0" w:color="D3D3D3"/>
              <w:right w:val="single" w:sz="0" w:space="0" w:color="D3D3D3"/>
            </w:tcBorders>
          </w:tcPr>
          <w:p w14:paraId="4E850D2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(1.0)</w:t>
            </w:r>
          </w:p>
        </w:tc>
        <w:tc>
          <w:tcPr>
            <w:tcW w:w="0" w:type="auto"/>
            <w:tcBorders>
              <w:top w:val="single" w:sz="0" w:space="0" w:color="D3D3D3"/>
              <w:left w:val="single" w:sz="0" w:space="0" w:color="D3D3D3"/>
              <w:bottom w:val="single" w:sz="0" w:space="0" w:color="D3D3D3"/>
              <w:right w:val="single" w:sz="0" w:space="0" w:color="D3D3D3"/>
            </w:tcBorders>
          </w:tcPr>
          <w:p w14:paraId="6156796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(0.0)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D7BE49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4FC767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459099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(1.0)</w:t>
            </w:r>
          </w:p>
        </w:tc>
      </w:tr>
      <w:tr w:rsidR="00535B97" w:rsidRPr="0035420C" w14:paraId="2F77ADD0"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7B00ABE4"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Proximity to bush*</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63CF391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1FCE43E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293 (51%)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70EF9B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52 (83%)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48F89D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32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A7260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48 (75%)</w:t>
            </w:r>
          </w:p>
        </w:tc>
        <w:tc>
          <w:tcPr>
            <w:tcW w:w="0" w:type="auto"/>
            <w:tcBorders>
              <w:top w:val="single" w:sz="0" w:space="0" w:color="D3D3D3"/>
              <w:left w:val="single" w:sz="0" w:space="0" w:color="D3D3D3"/>
              <w:bottom w:val="single" w:sz="0" w:space="0" w:color="D3D3D3"/>
              <w:right w:val="single" w:sz="0" w:space="0" w:color="D3D3D3"/>
            </w:tcBorders>
          </w:tcPr>
          <w:p w14:paraId="746B24E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 (22%)</w:t>
            </w:r>
          </w:p>
        </w:tc>
        <w:tc>
          <w:tcPr>
            <w:tcW w:w="0" w:type="auto"/>
            <w:tcBorders>
              <w:top w:val="single" w:sz="0" w:space="0" w:color="D3D3D3"/>
              <w:left w:val="single" w:sz="0" w:space="0" w:color="D3D3D3"/>
              <w:bottom w:val="single" w:sz="0" w:space="0" w:color="D3D3D3"/>
              <w:right w:val="single" w:sz="0" w:space="0" w:color="D3D3D3"/>
            </w:tcBorders>
          </w:tcPr>
          <w:p w14:paraId="4D74630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(38%)</w:t>
            </w:r>
          </w:p>
        </w:tc>
        <w:tc>
          <w:tcPr>
            <w:tcW w:w="0" w:type="auto"/>
            <w:tcBorders>
              <w:top w:val="single" w:sz="0" w:space="0" w:color="D3D3D3"/>
              <w:left w:val="single" w:sz="0" w:space="0" w:color="D3D3D3"/>
              <w:bottom w:val="single" w:sz="0" w:space="0" w:color="D3D3D3"/>
              <w:right w:val="single" w:sz="0" w:space="0" w:color="D3D3D3"/>
            </w:tcBorders>
          </w:tcPr>
          <w:p w14:paraId="0507CF9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7B3E21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42 (64%)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AF49CE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49 (75%)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535793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23 (36%)</w:t>
            </w:r>
          </w:p>
        </w:tc>
      </w:tr>
      <w:tr w:rsidR="00535B97" w:rsidRPr="0035420C" w14:paraId="2EDB6C80"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1D53C9F3"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Proximity to farm*</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32772A6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20A24A9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382 (66%)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D1484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59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722A60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49 (77%)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74924E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 (91%)</w:t>
            </w:r>
          </w:p>
        </w:tc>
        <w:tc>
          <w:tcPr>
            <w:tcW w:w="0" w:type="auto"/>
            <w:tcBorders>
              <w:top w:val="single" w:sz="0" w:space="0" w:color="D3D3D3"/>
              <w:left w:val="single" w:sz="0" w:space="0" w:color="D3D3D3"/>
              <w:bottom w:val="single" w:sz="0" w:space="0" w:color="D3D3D3"/>
              <w:right w:val="single" w:sz="0" w:space="0" w:color="D3D3D3"/>
            </w:tcBorders>
          </w:tcPr>
          <w:p w14:paraId="0C19862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 (19%)</w:t>
            </w:r>
          </w:p>
        </w:tc>
        <w:tc>
          <w:tcPr>
            <w:tcW w:w="0" w:type="auto"/>
            <w:tcBorders>
              <w:top w:val="single" w:sz="0" w:space="0" w:color="D3D3D3"/>
              <w:left w:val="single" w:sz="0" w:space="0" w:color="D3D3D3"/>
              <w:bottom w:val="single" w:sz="0" w:space="0" w:color="D3D3D3"/>
              <w:right w:val="single" w:sz="0" w:space="0" w:color="D3D3D3"/>
            </w:tcBorders>
          </w:tcPr>
          <w:p w14:paraId="4A3BCCD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 (21%)</w:t>
            </w:r>
          </w:p>
        </w:tc>
        <w:tc>
          <w:tcPr>
            <w:tcW w:w="0" w:type="auto"/>
            <w:tcBorders>
              <w:top w:val="single" w:sz="0" w:space="0" w:color="D3D3D3"/>
              <w:left w:val="single" w:sz="0" w:space="0" w:color="D3D3D3"/>
              <w:bottom w:val="single" w:sz="0" w:space="0" w:color="D3D3D3"/>
              <w:right w:val="single" w:sz="0" w:space="0" w:color="D3D3D3"/>
            </w:tcBorders>
          </w:tcPr>
          <w:p w14:paraId="732E7C6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967072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59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08B5D7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D8E157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63 (98%)</w:t>
            </w:r>
          </w:p>
        </w:tc>
      </w:tr>
      <w:tr w:rsidR="00535B97" w:rsidRPr="0035420C" w14:paraId="323F0A3B"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32DE294B"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Type of toilet*</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FE2DDF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0D6A1DA8"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B00701A"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D96685"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13EC453"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7FFE6CFB"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5EA7C84D"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65BC1A32"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C45E367"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031CE32"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C01DAB" w14:textId="77777777" w:rsidR="00535B97" w:rsidRPr="0035420C" w:rsidRDefault="00535B97" w:rsidP="0035420C">
            <w:pPr>
              <w:keepNext/>
              <w:spacing w:before="0" w:after="60" w:line="240" w:lineRule="auto"/>
              <w:jc w:val="center"/>
              <w:rPr>
                <w:sz w:val="16"/>
                <w:szCs w:val="16"/>
              </w:rPr>
            </w:pPr>
          </w:p>
        </w:tc>
      </w:tr>
      <w:tr w:rsidR="00535B97" w:rsidRPr="0035420C" w14:paraId="4130A61A"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37783C7F"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Plumbed toilet*</w:t>
            </w:r>
            <w:r w:rsidRPr="0035420C">
              <w:rPr>
                <w:rFonts w:ascii="Calibri" w:hAnsi="Calibri"/>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1AB59D6B"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4464DE1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CA84E5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FD1B4A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B0D015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 (6.3%)</w:t>
            </w:r>
          </w:p>
        </w:tc>
        <w:tc>
          <w:tcPr>
            <w:tcW w:w="0" w:type="auto"/>
            <w:tcBorders>
              <w:top w:val="single" w:sz="0" w:space="0" w:color="D3D3D3"/>
              <w:left w:val="single" w:sz="0" w:space="0" w:color="D3D3D3"/>
              <w:bottom w:val="single" w:sz="0" w:space="0" w:color="D3D3D3"/>
              <w:right w:val="single" w:sz="0" w:space="0" w:color="D3D3D3"/>
            </w:tcBorders>
          </w:tcPr>
          <w:p w14:paraId="3CF8BAF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 (4.7%)</w:t>
            </w:r>
          </w:p>
        </w:tc>
        <w:tc>
          <w:tcPr>
            <w:tcW w:w="0" w:type="auto"/>
            <w:tcBorders>
              <w:top w:val="single" w:sz="0" w:space="0" w:color="D3D3D3"/>
              <w:left w:val="single" w:sz="0" w:space="0" w:color="D3D3D3"/>
              <w:bottom w:val="single" w:sz="0" w:space="0" w:color="D3D3D3"/>
              <w:right w:val="single" w:sz="0" w:space="0" w:color="D3D3D3"/>
            </w:tcBorders>
          </w:tcPr>
          <w:p w14:paraId="2D2AAD9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(3.0%)</w:t>
            </w:r>
          </w:p>
        </w:tc>
        <w:tc>
          <w:tcPr>
            <w:tcW w:w="0" w:type="auto"/>
            <w:tcBorders>
              <w:top w:val="single" w:sz="0" w:space="0" w:color="D3D3D3"/>
              <w:left w:val="single" w:sz="0" w:space="0" w:color="D3D3D3"/>
              <w:bottom w:val="single" w:sz="0" w:space="0" w:color="D3D3D3"/>
              <w:right w:val="single" w:sz="0" w:space="0" w:color="D3D3D3"/>
            </w:tcBorders>
          </w:tcPr>
          <w:p w14:paraId="595160D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1FD687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19E15F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8BE8CE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r>
      <w:tr w:rsidR="00535B97" w:rsidRPr="0035420C" w14:paraId="484A77AC"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02611D2C"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Pit latrine*</w:t>
            </w:r>
            <w:r w:rsidRPr="0035420C">
              <w:rPr>
                <w:rFonts w:ascii="Calibri" w:hAnsi="Calibri"/>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62A8DFC6"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039D910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77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ED1080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 (25%)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42D58D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B5423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 (19%)</w:t>
            </w:r>
          </w:p>
        </w:tc>
        <w:tc>
          <w:tcPr>
            <w:tcW w:w="0" w:type="auto"/>
            <w:tcBorders>
              <w:top w:val="single" w:sz="0" w:space="0" w:color="D3D3D3"/>
              <w:left w:val="single" w:sz="0" w:space="0" w:color="D3D3D3"/>
              <w:bottom w:val="single" w:sz="0" w:space="0" w:color="D3D3D3"/>
              <w:right w:val="single" w:sz="0" w:space="0" w:color="D3D3D3"/>
            </w:tcBorders>
          </w:tcPr>
          <w:p w14:paraId="36B8F35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 (7.8%)</w:t>
            </w:r>
          </w:p>
        </w:tc>
        <w:tc>
          <w:tcPr>
            <w:tcW w:w="0" w:type="auto"/>
            <w:tcBorders>
              <w:top w:val="single" w:sz="0" w:space="0" w:color="D3D3D3"/>
              <w:left w:val="single" w:sz="0" w:space="0" w:color="D3D3D3"/>
              <w:bottom w:val="single" w:sz="0" w:space="0" w:color="D3D3D3"/>
              <w:right w:val="single" w:sz="0" w:space="0" w:color="D3D3D3"/>
            </w:tcBorders>
          </w:tcPr>
          <w:p w14:paraId="705D455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 (4.5%)</w:t>
            </w:r>
          </w:p>
        </w:tc>
        <w:tc>
          <w:tcPr>
            <w:tcW w:w="0" w:type="auto"/>
            <w:tcBorders>
              <w:top w:val="single" w:sz="0" w:space="0" w:color="D3D3D3"/>
              <w:left w:val="single" w:sz="0" w:space="0" w:color="D3D3D3"/>
              <w:bottom w:val="single" w:sz="0" w:space="0" w:color="D3D3D3"/>
              <w:right w:val="single" w:sz="0" w:space="0" w:color="D3D3D3"/>
            </w:tcBorders>
          </w:tcPr>
          <w:p w14:paraId="453B40C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D2FEDA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2BDDD3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 (6.2%)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8DC58E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 (25%)</w:t>
            </w:r>
          </w:p>
        </w:tc>
      </w:tr>
      <w:tr w:rsidR="00535B97" w:rsidRPr="0035420C" w14:paraId="71EC2BD5"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6BDDDA59"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Open system*</w:t>
            </w:r>
            <w:r w:rsidRPr="0035420C">
              <w:rPr>
                <w:rFonts w:ascii="Calibri" w:hAnsi="Calibri"/>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390E7282"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7A4BA78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367297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7AE3C8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255DF4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5362F8B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16EC432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00D7D06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262FEF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ADB699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 (4.6%)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E6EF65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 (1.6%)</w:t>
            </w:r>
          </w:p>
        </w:tc>
      </w:tr>
      <w:tr w:rsidR="00535B97" w:rsidRPr="0035420C" w14:paraId="53A7DA3E"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0C5A833E"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Field defecation*</w:t>
            </w:r>
            <w:r w:rsidRPr="0035420C">
              <w:rPr>
                <w:rFonts w:ascii="Calibri" w:hAnsi="Calibri"/>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769948E"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7874B37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460 (80%)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150E8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37 (59%)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DB437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45 (70%)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0B7C75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48 (75%)</w:t>
            </w:r>
          </w:p>
        </w:tc>
        <w:tc>
          <w:tcPr>
            <w:tcW w:w="0" w:type="auto"/>
            <w:tcBorders>
              <w:top w:val="single" w:sz="0" w:space="0" w:color="D3D3D3"/>
              <w:left w:val="single" w:sz="0" w:space="0" w:color="D3D3D3"/>
              <w:bottom w:val="single" w:sz="0" w:space="0" w:color="D3D3D3"/>
              <w:right w:val="single" w:sz="0" w:space="0" w:color="D3D3D3"/>
            </w:tcBorders>
          </w:tcPr>
          <w:p w14:paraId="4567BE7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56 (88%)</w:t>
            </w:r>
          </w:p>
        </w:tc>
        <w:tc>
          <w:tcPr>
            <w:tcW w:w="0" w:type="auto"/>
            <w:tcBorders>
              <w:top w:val="single" w:sz="0" w:space="0" w:color="D3D3D3"/>
              <w:left w:val="single" w:sz="0" w:space="0" w:color="D3D3D3"/>
              <w:bottom w:val="single" w:sz="0" w:space="0" w:color="D3D3D3"/>
              <w:right w:val="single" w:sz="0" w:space="0" w:color="D3D3D3"/>
            </w:tcBorders>
          </w:tcPr>
          <w:p w14:paraId="3802648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61 (92%)</w:t>
            </w:r>
          </w:p>
        </w:tc>
        <w:tc>
          <w:tcPr>
            <w:tcW w:w="0" w:type="auto"/>
            <w:tcBorders>
              <w:top w:val="single" w:sz="0" w:space="0" w:color="D3D3D3"/>
              <w:left w:val="single" w:sz="0" w:space="0" w:color="D3D3D3"/>
              <w:bottom w:val="single" w:sz="0" w:space="0" w:color="D3D3D3"/>
              <w:right w:val="single" w:sz="0" w:space="0" w:color="D3D3D3"/>
            </w:tcBorders>
          </w:tcPr>
          <w:p w14:paraId="4ED7303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(98%)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62598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50 (76%)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8120AF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56 (86%)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73BFEB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47 (73%)</w:t>
            </w:r>
          </w:p>
        </w:tc>
      </w:tr>
      <w:tr w:rsidR="00535B97" w:rsidRPr="0035420C" w14:paraId="0093E4E0"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696C7109"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Other*</w:t>
            </w:r>
            <w:r w:rsidRPr="0035420C">
              <w:rPr>
                <w:rFonts w:ascii="Calibri" w:hAnsi="Calibri"/>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039516C"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31F545F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(0.3%)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98A1B9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(3.2%)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51C96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6A726F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558EA95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5D02959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4731A3C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6653F5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53CE1D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BB02BF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r>
      <w:tr w:rsidR="00535B97" w:rsidRPr="0035420C" w14:paraId="5ED3023C"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44C00AB0"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Rodents enter home</w:t>
            </w:r>
          </w:p>
        </w:tc>
        <w:tc>
          <w:tcPr>
            <w:tcW w:w="0" w:type="auto"/>
            <w:tcBorders>
              <w:top w:val="single" w:sz="0" w:space="0" w:color="D3D3D3"/>
              <w:left w:val="single" w:sz="0" w:space="0" w:color="D3D3D3"/>
              <w:bottom w:val="single" w:sz="0" w:space="0" w:color="D3D3D3"/>
              <w:right w:val="single" w:sz="0" w:space="0" w:color="D3D3D3"/>
            </w:tcBorders>
          </w:tcPr>
          <w:p w14:paraId="1666ED5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05AAE02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540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669DC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(98%)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6BE973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BB988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59 (92%)</w:t>
            </w:r>
          </w:p>
        </w:tc>
        <w:tc>
          <w:tcPr>
            <w:tcW w:w="0" w:type="auto"/>
            <w:tcBorders>
              <w:top w:val="single" w:sz="0" w:space="0" w:color="D3D3D3"/>
              <w:left w:val="single" w:sz="0" w:space="0" w:color="D3D3D3"/>
              <w:bottom w:val="single" w:sz="0" w:space="0" w:color="D3D3D3"/>
              <w:right w:val="single" w:sz="0" w:space="0" w:color="D3D3D3"/>
            </w:tcBorders>
          </w:tcPr>
          <w:p w14:paraId="2FD76FC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61 (95%)</w:t>
            </w:r>
          </w:p>
        </w:tc>
        <w:tc>
          <w:tcPr>
            <w:tcW w:w="0" w:type="auto"/>
            <w:tcBorders>
              <w:top w:val="single" w:sz="0" w:space="0" w:color="D3D3D3"/>
              <w:left w:val="single" w:sz="0" w:space="0" w:color="D3D3D3"/>
              <w:bottom w:val="single" w:sz="0" w:space="0" w:color="D3D3D3"/>
              <w:right w:val="single" w:sz="0" w:space="0" w:color="D3D3D3"/>
            </w:tcBorders>
          </w:tcPr>
          <w:p w14:paraId="76E8CF8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(94%)</w:t>
            </w:r>
          </w:p>
        </w:tc>
        <w:tc>
          <w:tcPr>
            <w:tcW w:w="0" w:type="auto"/>
            <w:tcBorders>
              <w:top w:val="single" w:sz="0" w:space="0" w:color="D3D3D3"/>
              <w:left w:val="single" w:sz="0" w:space="0" w:color="D3D3D3"/>
              <w:bottom w:val="single" w:sz="0" w:space="0" w:color="D3D3D3"/>
              <w:right w:val="single" w:sz="0" w:space="0" w:color="D3D3D3"/>
            </w:tcBorders>
          </w:tcPr>
          <w:p w14:paraId="5C6D855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56 (92%)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0A24A9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56 (85%)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D13EB0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(95%)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02C4EA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(94%)</w:t>
            </w:r>
          </w:p>
        </w:tc>
      </w:tr>
      <w:tr w:rsidR="00535B97" w:rsidRPr="0035420C" w14:paraId="6DFBFFA8" w14:textId="77777777" w:rsidTr="0035420C">
        <w:trPr>
          <w:cantSplit/>
        </w:trPr>
        <w:tc>
          <w:tcPr>
            <w:tcW w:w="0" w:type="auto"/>
            <w:gridSpan w:val="12"/>
          </w:tcPr>
          <w:p w14:paraId="6009AB42"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1</w:t>
            </w:r>
            <w:r w:rsidRPr="0035420C">
              <w:rPr>
                <w:rFonts w:ascii="Calibri" w:hAnsi="Calibri"/>
                <w:sz w:val="16"/>
                <w:szCs w:val="16"/>
              </w:rPr>
              <w:t>Median (IQR); n (%)</w:t>
            </w:r>
          </w:p>
        </w:tc>
      </w:tr>
      <w:tr w:rsidR="00535B97" w:rsidRPr="0035420C" w14:paraId="45709134" w14:textId="77777777" w:rsidTr="0035420C">
        <w:trPr>
          <w:cantSplit/>
        </w:trPr>
        <w:tc>
          <w:tcPr>
            <w:tcW w:w="0" w:type="auto"/>
            <w:gridSpan w:val="12"/>
          </w:tcPr>
          <w:p w14:paraId="778BB375"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2</w:t>
            </w:r>
            <w:r w:rsidRPr="0035420C">
              <w:rPr>
                <w:rFonts w:ascii="Calibri" w:hAnsi="Calibri"/>
                <w:sz w:val="16"/>
                <w:szCs w:val="16"/>
              </w:rPr>
              <w:t>% refers to proportion of households enrolled from all households in the village</w:t>
            </w:r>
          </w:p>
        </w:tc>
      </w:tr>
      <w:tr w:rsidR="00535B97" w:rsidRPr="0035420C" w14:paraId="53DC28AC" w14:textId="77777777" w:rsidTr="0035420C">
        <w:trPr>
          <w:cantSplit/>
        </w:trPr>
        <w:tc>
          <w:tcPr>
            <w:tcW w:w="0" w:type="auto"/>
            <w:gridSpan w:val="12"/>
          </w:tcPr>
          <w:p w14:paraId="0A7F61EB"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3</w:t>
            </w:r>
            <w:r w:rsidRPr="0035420C">
              <w:rPr>
                <w:rFonts w:ascii="Calibri" w:hAnsi="Calibri"/>
                <w:sz w:val="16"/>
                <w:szCs w:val="16"/>
              </w:rPr>
              <w:t xml:space="preserve">*Indicates strong evidence of a difference between villages, as determined by a Bayesian model. See supplementary for central estimates and 95% </w:t>
            </w:r>
            <w:proofErr w:type="spellStart"/>
            <w:r w:rsidRPr="0035420C">
              <w:rPr>
                <w:rFonts w:ascii="Calibri" w:hAnsi="Calibri"/>
                <w:sz w:val="16"/>
                <w:szCs w:val="16"/>
              </w:rPr>
              <w:t>CrI</w:t>
            </w:r>
            <w:proofErr w:type="spellEnd"/>
            <w:r w:rsidRPr="0035420C">
              <w:rPr>
                <w:rFonts w:ascii="Calibri" w:hAnsi="Calibri"/>
                <w:sz w:val="16"/>
                <w:szCs w:val="16"/>
              </w:rPr>
              <w:t>.</w:t>
            </w:r>
          </w:p>
        </w:tc>
      </w:tr>
      <w:tr w:rsidR="00535B97" w:rsidRPr="0035420C" w14:paraId="6C08980C" w14:textId="77777777" w:rsidTr="0035420C">
        <w:trPr>
          <w:cantSplit/>
        </w:trPr>
        <w:tc>
          <w:tcPr>
            <w:tcW w:w="0" w:type="auto"/>
            <w:gridSpan w:val="12"/>
          </w:tcPr>
          <w:p w14:paraId="40112015"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4</w:t>
            </w:r>
            <w:r w:rsidRPr="0035420C">
              <w:rPr>
                <w:rFonts w:ascii="Calibri" w:hAnsi="Calibri"/>
                <w:sz w:val="16"/>
                <w:szCs w:val="16"/>
              </w:rPr>
              <w:t>Maximum of 4 household members were tested irrespective of household size</w:t>
            </w:r>
          </w:p>
        </w:tc>
      </w:tr>
    </w:tbl>
    <w:p w14:paraId="20BDFD12" w14:textId="77777777" w:rsidR="00535B97" w:rsidRDefault="00000000">
      <w:pPr>
        <w:pStyle w:val="Heading2"/>
      </w:pPr>
      <w:bookmarkStart w:id="13" w:name="individuals"/>
      <w:bookmarkEnd w:id="12"/>
      <w:r>
        <w:t>Individuals</w:t>
      </w:r>
    </w:p>
    <w:p w14:paraId="33A266FE" w14:textId="77777777" w:rsidR="00535B97" w:rsidRDefault="00000000">
      <w:r>
        <w:t xml:space="preserve">Demographics and behaviours varied notably across sites (Table 2). Migration patterns differed (Strong Evidence); the percentage of residents born in their current village was substantially lower in BN compared to CR. However, most participants were permanent residents (median 12 months/year). A balanced distribution by sex was achieved by the </w:t>
      </w:r>
      <w:r>
        <w:lastRenderedPageBreak/>
        <w:t>sampling design for all sites. Median age (Overall: 28, IQR: 31) was consistent across villages.</w:t>
      </w:r>
    </w:p>
    <w:p w14:paraId="7855F4BD" w14:textId="77777777" w:rsidR="00535B97" w:rsidRDefault="00000000">
      <w:r>
        <w:t xml:space="preserve">Educational attainment varied </w:t>
      </w:r>
      <w:proofErr w:type="spellStart"/>
      <w:r>
        <w:t>substantialy</w:t>
      </w:r>
      <w:proofErr w:type="spellEnd"/>
      <w:r>
        <w:t>; participants in BN and CR had higher rates of secondary education completion compared to EB. Subsistence farming was the most common occupation (59%), followed by trading (17%) and hired agricultural work (6%). Primary occupations did not show strong evidence of difference between villages.</w:t>
      </w:r>
    </w:p>
    <w:p w14:paraId="149AE808" w14:textId="77777777" w:rsidR="00535B97" w:rsidRDefault="00000000">
      <w:r>
        <w:t xml:space="preserve">Rodent consumption practices differed substantially. Current rodent consumption was common in most BN and CR villages (e.g., 91% in Dyegh [BN] and 73% in Ogamanna [CR]) but was rarer in the EB villages (e.g., 4.5% in </w:t>
      </w:r>
      <w:proofErr w:type="spellStart"/>
      <w:r>
        <w:t>Enyandulogu</w:t>
      </w:r>
      <w:proofErr w:type="spellEnd"/>
      <w:r>
        <w:t xml:space="preserve">). Even among those not currently consuming rodents, the proportion who reported past consumption also varied, being generally higher in EB villages (e.g., 78% in </w:t>
      </w:r>
      <w:proofErr w:type="spellStart"/>
      <w:r>
        <w:t>Offianka</w:t>
      </w:r>
      <w:proofErr w:type="spellEnd"/>
      <w:r>
        <w:t>) than elsewhere. Indirect rodent contact, such as cleaning rodent excreta, was nearly universal (99%) and did not differ between villages.</w:t>
      </w:r>
    </w:p>
    <w:tbl>
      <w:tblPr>
        <w:tblW w:w="0" w:type="auto"/>
        <w:jc w:val="center"/>
        <w:tblCellMar>
          <w:left w:w="60" w:type="dxa"/>
          <w:right w:w="60" w:type="dxa"/>
        </w:tblCellMar>
        <w:tblLook w:val="0000" w:firstRow="0" w:lastRow="0" w:firstColumn="0" w:lastColumn="0" w:noHBand="0" w:noVBand="0"/>
      </w:tblPr>
      <w:tblGrid>
        <w:gridCol w:w="1074"/>
        <w:gridCol w:w="469"/>
        <w:gridCol w:w="573"/>
        <w:gridCol w:w="516"/>
        <w:gridCol w:w="519"/>
        <w:gridCol w:w="922"/>
        <w:gridCol w:w="935"/>
        <w:gridCol w:w="809"/>
        <w:gridCol w:w="787"/>
        <w:gridCol w:w="825"/>
        <w:gridCol w:w="940"/>
        <w:gridCol w:w="657"/>
      </w:tblGrid>
      <w:tr w:rsidR="00535B97" w:rsidRPr="0035420C" w14:paraId="1D49A1EB" w14:textId="77777777">
        <w:trPr>
          <w:cantSplit/>
          <w:tblHeader/>
          <w:jc w:val="center"/>
        </w:trPr>
        <w:tc>
          <w:tcPr>
            <w:tcW w:w="0" w:type="auto"/>
            <w:tcBorders>
              <w:top w:val="single" w:sz="16" w:space="0" w:color="D3D3D3"/>
              <w:left w:val="single" w:sz="0" w:space="0" w:color="D3D3D3"/>
            </w:tcBorders>
          </w:tcPr>
          <w:p w14:paraId="15C427A4" w14:textId="77777777" w:rsidR="00535B97" w:rsidRPr="0035420C" w:rsidRDefault="00535B97" w:rsidP="0035420C">
            <w:pPr>
              <w:keepNext/>
              <w:spacing w:before="0" w:after="60" w:line="240" w:lineRule="auto"/>
              <w:rPr>
                <w:sz w:val="16"/>
                <w:szCs w:val="16"/>
              </w:rPr>
            </w:pPr>
          </w:p>
        </w:tc>
        <w:tc>
          <w:tcPr>
            <w:tcW w:w="0" w:type="auto"/>
            <w:tcBorders>
              <w:top w:val="single" w:sz="16" w:space="0" w:color="D3D3D3"/>
            </w:tcBorders>
          </w:tcPr>
          <w:p w14:paraId="213182EA" w14:textId="77777777" w:rsidR="00535B97" w:rsidRPr="0035420C" w:rsidRDefault="00535B97" w:rsidP="0035420C">
            <w:pPr>
              <w:keepNext/>
              <w:spacing w:before="0" w:after="60" w:line="240" w:lineRule="auto"/>
              <w:rPr>
                <w:sz w:val="16"/>
                <w:szCs w:val="16"/>
              </w:rPr>
            </w:pPr>
          </w:p>
        </w:tc>
        <w:tc>
          <w:tcPr>
            <w:tcW w:w="0" w:type="auto"/>
            <w:tcBorders>
              <w:top w:val="single" w:sz="16" w:space="0" w:color="D3D3D3"/>
            </w:tcBorders>
          </w:tcPr>
          <w:p w14:paraId="037817AA" w14:textId="77777777" w:rsidR="00535B97" w:rsidRPr="0035420C" w:rsidRDefault="00535B97" w:rsidP="0035420C">
            <w:pPr>
              <w:keepNext/>
              <w:spacing w:before="0" w:after="60" w:line="240" w:lineRule="auto"/>
              <w:rPr>
                <w:sz w:val="16"/>
                <w:szCs w:val="16"/>
              </w:rPr>
            </w:pPr>
          </w:p>
        </w:tc>
        <w:tc>
          <w:tcPr>
            <w:tcW w:w="0" w:type="auto"/>
            <w:gridSpan w:val="3"/>
            <w:tcBorders>
              <w:top w:val="single" w:sz="16" w:space="0" w:color="D3D3D3"/>
              <w:bottom w:val="single" w:sz="16" w:space="0" w:color="D3D3D3"/>
            </w:tcBorders>
          </w:tcPr>
          <w:p w14:paraId="31308144"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Benue [BN]</w:t>
            </w:r>
          </w:p>
        </w:tc>
        <w:tc>
          <w:tcPr>
            <w:tcW w:w="0" w:type="auto"/>
            <w:gridSpan w:val="3"/>
            <w:tcBorders>
              <w:top w:val="single" w:sz="16" w:space="0" w:color="D3D3D3"/>
              <w:bottom w:val="single" w:sz="16" w:space="0" w:color="D3D3D3"/>
            </w:tcBorders>
          </w:tcPr>
          <w:p w14:paraId="2CDBE37F"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Cross River [CR]</w:t>
            </w:r>
          </w:p>
        </w:tc>
        <w:tc>
          <w:tcPr>
            <w:tcW w:w="0" w:type="auto"/>
            <w:gridSpan w:val="3"/>
            <w:tcBorders>
              <w:top w:val="single" w:sz="16" w:space="0" w:color="D3D3D3"/>
              <w:bottom w:val="single" w:sz="16" w:space="0" w:color="D3D3D3"/>
              <w:right w:val="single" w:sz="0" w:space="0" w:color="D3D3D3"/>
            </w:tcBorders>
          </w:tcPr>
          <w:p w14:paraId="0AB35828"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Ebonyi [EB]</w:t>
            </w:r>
          </w:p>
        </w:tc>
      </w:tr>
      <w:tr w:rsidR="00535B97" w:rsidRPr="0035420C" w14:paraId="2F29D35E" w14:textId="77777777">
        <w:trPr>
          <w:cantSplit/>
          <w:tblHeader/>
          <w:jc w:val="center"/>
        </w:trPr>
        <w:tc>
          <w:tcPr>
            <w:tcW w:w="0" w:type="auto"/>
            <w:tcBorders>
              <w:left w:val="single" w:sz="0" w:space="0" w:color="D3D3D3"/>
              <w:bottom w:val="single" w:sz="16" w:space="0" w:color="D3D3D3"/>
            </w:tcBorders>
          </w:tcPr>
          <w:p w14:paraId="2CD56E5E"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Characteristic</w:t>
            </w:r>
          </w:p>
        </w:tc>
        <w:tc>
          <w:tcPr>
            <w:tcW w:w="0" w:type="auto"/>
            <w:tcBorders>
              <w:bottom w:val="single" w:sz="16" w:space="0" w:color="D3D3D3"/>
            </w:tcBorders>
          </w:tcPr>
          <w:p w14:paraId="12F7D641"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N</w:t>
            </w:r>
          </w:p>
        </w:tc>
        <w:tc>
          <w:tcPr>
            <w:tcW w:w="0" w:type="auto"/>
            <w:tcBorders>
              <w:bottom w:val="single" w:sz="16" w:space="0" w:color="D3D3D3"/>
            </w:tcBorders>
          </w:tcPr>
          <w:p w14:paraId="48E347BD"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Overall</w:t>
            </w:r>
            <w:r w:rsidRPr="0035420C">
              <w:rPr>
                <w:rFonts w:ascii="Calibri" w:hAnsi="Calibri"/>
                <w:sz w:val="16"/>
                <w:szCs w:val="16"/>
              </w:rPr>
              <w:t xml:space="preserve"> N = 1,841</w:t>
            </w:r>
            <w:r w:rsidRPr="0035420C">
              <w:rPr>
                <w:rFonts w:ascii="Calibri" w:hAnsi="Calibri"/>
                <w:i/>
                <w:sz w:val="16"/>
                <w:szCs w:val="16"/>
                <w:vertAlign w:val="superscript"/>
              </w:rPr>
              <w:t>1</w:t>
            </w:r>
          </w:p>
        </w:tc>
        <w:tc>
          <w:tcPr>
            <w:tcW w:w="0" w:type="auto"/>
            <w:tcBorders>
              <w:bottom w:val="single" w:sz="16" w:space="0" w:color="D3D3D3"/>
            </w:tcBorders>
          </w:tcPr>
          <w:p w14:paraId="52440C7A"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Zugu</w:t>
            </w:r>
            <w:r w:rsidRPr="0035420C">
              <w:rPr>
                <w:rFonts w:ascii="Calibri" w:hAnsi="Calibri"/>
                <w:sz w:val="16"/>
                <w:szCs w:val="16"/>
              </w:rPr>
              <w:t xml:space="preserve"> N = 179</w:t>
            </w:r>
            <w:r w:rsidRPr="0035420C">
              <w:rPr>
                <w:rFonts w:ascii="Calibri" w:hAnsi="Calibri"/>
                <w:i/>
                <w:sz w:val="16"/>
                <w:szCs w:val="16"/>
                <w:vertAlign w:val="superscript"/>
              </w:rPr>
              <w:t>1</w:t>
            </w:r>
          </w:p>
        </w:tc>
        <w:tc>
          <w:tcPr>
            <w:tcW w:w="0" w:type="auto"/>
            <w:tcBorders>
              <w:bottom w:val="single" w:sz="16" w:space="0" w:color="D3D3D3"/>
            </w:tcBorders>
          </w:tcPr>
          <w:p w14:paraId="179F96F7"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Dyegh</w:t>
            </w:r>
            <w:r w:rsidRPr="0035420C">
              <w:rPr>
                <w:rFonts w:ascii="Calibri" w:hAnsi="Calibri"/>
                <w:sz w:val="16"/>
                <w:szCs w:val="16"/>
              </w:rPr>
              <w:t xml:space="preserve"> N = 209</w:t>
            </w:r>
            <w:r w:rsidRPr="0035420C">
              <w:rPr>
                <w:rFonts w:ascii="Calibri" w:hAnsi="Calibri"/>
                <w:i/>
                <w:sz w:val="16"/>
                <w:szCs w:val="16"/>
                <w:vertAlign w:val="superscript"/>
              </w:rPr>
              <w:t>1</w:t>
            </w:r>
          </w:p>
        </w:tc>
        <w:tc>
          <w:tcPr>
            <w:tcW w:w="0" w:type="auto"/>
            <w:tcBorders>
              <w:bottom w:val="single" w:sz="16" w:space="0" w:color="D3D3D3"/>
            </w:tcBorders>
          </w:tcPr>
          <w:p w14:paraId="606F31C2"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Ikyogbakpev</w:t>
            </w:r>
            <w:proofErr w:type="spellEnd"/>
            <w:r w:rsidRPr="0035420C">
              <w:rPr>
                <w:rFonts w:ascii="Calibri" w:hAnsi="Calibri"/>
                <w:sz w:val="16"/>
                <w:szCs w:val="16"/>
              </w:rPr>
              <w:t xml:space="preserve"> N = 208</w:t>
            </w:r>
            <w:r w:rsidRPr="0035420C">
              <w:rPr>
                <w:rFonts w:ascii="Calibri" w:hAnsi="Calibri"/>
                <w:i/>
                <w:sz w:val="16"/>
                <w:szCs w:val="16"/>
                <w:vertAlign w:val="superscript"/>
              </w:rPr>
              <w:t>1</w:t>
            </w:r>
          </w:p>
        </w:tc>
        <w:tc>
          <w:tcPr>
            <w:tcW w:w="0" w:type="auto"/>
            <w:tcBorders>
              <w:bottom w:val="single" w:sz="16" w:space="0" w:color="D3D3D3"/>
            </w:tcBorders>
          </w:tcPr>
          <w:p w14:paraId="24D4C9E0"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Okimbongha</w:t>
            </w:r>
            <w:r w:rsidRPr="0035420C">
              <w:rPr>
                <w:rFonts w:ascii="Calibri" w:hAnsi="Calibri"/>
                <w:sz w:val="16"/>
                <w:szCs w:val="16"/>
              </w:rPr>
              <w:t xml:space="preserve"> N = 225</w:t>
            </w:r>
            <w:r w:rsidRPr="0035420C">
              <w:rPr>
                <w:rFonts w:ascii="Calibri" w:hAnsi="Calibri"/>
                <w:i/>
                <w:sz w:val="16"/>
                <w:szCs w:val="16"/>
                <w:vertAlign w:val="superscript"/>
              </w:rPr>
              <w:t>1</w:t>
            </w:r>
          </w:p>
        </w:tc>
        <w:tc>
          <w:tcPr>
            <w:tcW w:w="0" w:type="auto"/>
            <w:tcBorders>
              <w:bottom w:val="single" w:sz="16" w:space="0" w:color="D3D3D3"/>
            </w:tcBorders>
          </w:tcPr>
          <w:p w14:paraId="12516D85"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Ogamanna</w:t>
            </w:r>
            <w:r w:rsidRPr="0035420C">
              <w:rPr>
                <w:rFonts w:ascii="Calibri" w:hAnsi="Calibri"/>
                <w:sz w:val="16"/>
                <w:szCs w:val="16"/>
              </w:rPr>
              <w:t xml:space="preserve"> N = 230</w:t>
            </w:r>
            <w:r w:rsidRPr="0035420C">
              <w:rPr>
                <w:rFonts w:ascii="Calibri" w:hAnsi="Calibri"/>
                <w:i/>
                <w:sz w:val="16"/>
                <w:szCs w:val="16"/>
                <w:vertAlign w:val="superscript"/>
              </w:rPr>
              <w:t>1</w:t>
            </w:r>
          </w:p>
        </w:tc>
        <w:tc>
          <w:tcPr>
            <w:tcW w:w="0" w:type="auto"/>
            <w:tcBorders>
              <w:bottom w:val="single" w:sz="16" w:space="0" w:color="D3D3D3"/>
            </w:tcBorders>
          </w:tcPr>
          <w:p w14:paraId="58E3444F"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Ofonekom</w:t>
            </w:r>
            <w:proofErr w:type="spellEnd"/>
            <w:r w:rsidRPr="0035420C">
              <w:rPr>
                <w:rFonts w:ascii="Calibri" w:hAnsi="Calibri"/>
                <w:sz w:val="16"/>
                <w:szCs w:val="16"/>
              </w:rPr>
              <w:t xml:space="preserve"> N = 143</w:t>
            </w:r>
            <w:r w:rsidRPr="0035420C">
              <w:rPr>
                <w:rFonts w:ascii="Calibri" w:hAnsi="Calibri"/>
                <w:i/>
                <w:sz w:val="16"/>
                <w:szCs w:val="16"/>
                <w:vertAlign w:val="superscript"/>
              </w:rPr>
              <w:t>1</w:t>
            </w:r>
          </w:p>
        </w:tc>
        <w:tc>
          <w:tcPr>
            <w:tcW w:w="0" w:type="auto"/>
            <w:tcBorders>
              <w:bottom w:val="single" w:sz="16" w:space="0" w:color="D3D3D3"/>
            </w:tcBorders>
          </w:tcPr>
          <w:p w14:paraId="21C05EFF"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Ezeakataka</w:t>
            </w:r>
            <w:proofErr w:type="spellEnd"/>
            <w:r w:rsidRPr="0035420C">
              <w:rPr>
                <w:rFonts w:ascii="Calibri" w:hAnsi="Calibri"/>
                <w:sz w:val="16"/>
                <w:szCs w:val="16"/>
              </w:rPr>
              <w:t xml:space="preserve"> N = 234</w:t>
            </w:r>
            <w:r w:rsidRPr="0035420C">
              <w:rPr>
                <w:rFonts w:ascii="Calibri" w:hAnsi="Calibri"/>
                <w:i/>
                <w:sz w:val="16"/>
                <w:szCs w:val="16"/>
                <w:vertAlign w:val="superscript"/>
              </w:rPr>
              <w:t>1</w:t>
            </w:r>
          </w:p>
        </w:tc>
        <w:tc>
          <w:tcPr>
            <w:tcW w:w="0" w:type="auto"/>
            <w:tcBorders>
              <w:bottom w:val="single" w:sz="16" w:space="0" w:color="D3D3D3"/>
            </w:tcBorders>
          </w:tcPr>
          <w:p w14:paraId="6C091D5F"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Enyandulogu</w:t>
            </w:r>
            <w:proofErr w:type="spellEnd"/>
            <w:r w:rsidRPr="0035420C">
              <w:rPr>
                <w:rFonts w:ascii="Calibri" w:hAnsi="Calibri"/>
                <w:sz w:val="16"/>
                <w:szCs w:val="16"/>
              </w:rPr>
              <w:t xml:space="preserve"> N = 208</w:t>
            </w:r>
            <w:r w:rsidRPr="0035420C">
              <w:rPr>
                <w:rFonts w:ascii="Calibri" w:hAnsi="Calibri"/>
                <w:i/>
                <w:sz w:val="16"/>
                <w:szCs w:val="16"/>
                <w:vertAlign w:val="superscript"/>
              </w:rPr>
              <w:t>1</w:t>
            </w:r>
          </w:p>
        </w:tc>
        <w:tc>
          <w:tcPr>
            <w:tcW w:w="0" w:type="auto"/>
            <w:tcBorders>
              <w:bottom w:val="single" w:sz="16" w:space="0" w:color="D3D3D3"/>
              <w:right w:val="single" w:sz="0" w:space="0" w:color="D3D3D3"/>
            </w:tcBorders>
          </w:tcPr>
          <w:p w14:paraId="34B8C351"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Offianka</w:t>
            </w:r>
            <w:proofErr w:type="spellEnd"/>
            <w:r w:rsidRPr="0035420C">
              <w:rPr>
                <w:rFonts w:ascii="Calibri" w:hAnsi="Calibri"/>
                <w:sz w:val="16"/>
                <w:szCs w:val="16"/>
              </w:rPr>
              <w:t xml:space="preserve"> N = 205</w:t>
            </w:r>
            <w:r w:rsidRPr="0035420C">
              <w:rPr>
                <w:rFonts w:ascii="Calibri" w:hAnsi="Calibri"/>
                <w:i/>
                <w:sz w:val="16"/>
                <w:szCs w:val="16"/>
                <w:vertAlign w:val="superscript"/>
              </w:rPr>
              <w:t>1</w:t>
            </w:r>
          </w:p>
        </w:tc>
      </w:tr>
      <w:tr w:rsidR="00535B97" w:rsidRPr="0035420C" w14:paraId="395FC4B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9E87ED"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Estimated village population</w:t>
            </w:r>
          </w:p>
        </w:tc>
        <w:tc>
          <w:tcPr>
            <w:tcW w:w="0" w:type="auto"/>
            <w:tcBorders>
              <w:top w:val="single" w:sz="0" w:space="0" w:color="D3D3D3"/>
              <w:left w:val="single" w:sz="0" w:space="0" w:color="D3D3D3"/>
              <w:bottom w:val="single" w:sz="0" w:space="0" w:color="D3D3D3"/>
              <w:right w:val="single" w:sz="0" w:space="0" w:color="D3D3D3"/>
            </w:tcBorders>
          </w:tcPr>
          <w:p w14:paraId="46D1739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6C4BBE91"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DABDA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1,227 (15%)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2AAAEF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930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907513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2,242 (9%)</w:t>
            </w:r>
          </w:p>
        </w:tc>
        <w:tc>
          <w:tcPr>
            <w:tcW w:w="0" w:type="auto"/>
            <w:tcBorders>
              <w:top w:val="single" w:sz="0" w:space="0" w:color="D3D3D3"/>
              <w:left w:val="single" w:sz="0" w:space="0" w:color="D3D3D3"/>
              <w:bottom w:val="single" w:sz="0" w:space="0" w:color="D3D3D3"/>
              <w:right w:val="single" w:sz="0" w:space="0" w:color="D3D3D3"/>
            </w:tcBorders>
          </w:tcPr>
          <w:p w14:paraId="28C44F4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1,196 (21%)</w:t>
            </w:r>
          </w:p>
        </w:tc>
        <w:tc>
          <w:tcPr>
            <w:tcW w:w="0" w:type="auto"/>
            <w:tcBorders>
              <w:top w:val="single" w:sz="0" w:space="0" w:color="D3D3D3"/>
              <w:left w:val="single" w:sz="0" w:space="0" w:color="D3D3D3"/>
              <w:bottom w:val="single" w:sz="0" w:space="0" w:color="D3D3D3"/>
              <w:right w:val="single" w:sz="0" w:space="0" w:color="D3D3D3"/>
            </w:tcBorders>
          </w:tcPr>
          <w:p w14:paraId="0E22209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1,401 (16%)</w:t>
            </w:r>
          </w:p>
        </w:tc>
        <w:tc>
          <w:tcPr>
            <w:tcW w:w="0" w:type="auto"/>
            <w:tcBorders>
              <w:top w:val="single" w:sz="0" w:space="0" w:color="D3D3D3"/>
              <w:left w:val="single" w:sz="0" w:space="0" w:color="D3D3D3"/>
              <w:bottom w:val="single" w:sz="0" w:space="0" w:color="D3D3D3"/>
              <w:right w:val="single" w:sz="0" w:space="0" w:color="D3D3D3"/>
            </w:tcBorders>
          </w:tcPr>
          <w:p w14:paraId="4E49643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464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095D17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2,125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91B35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1,790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69B282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2,310 (9%)</w:t>
            </w:r>
          </w:p>
        </w:tc>
      </w:tr>
      <w:tr w:rsidR="00535B97" w:rsidRPr="0035420C" w14:paraId="696A65A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0B9AF2"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LASV Seropositive</w:t>
            </w:r>
          </w:p>
        </w:tc>
        <w:tc>
          <w:tcPr>
            <w:tcW w:w="0" w:type="auto"/>
            <w:tcBorders>
              <w:top w:val="single" w:sz="0" w:space="0" w:color="D3D3D3"/>
              <w:left w:val="single" w:sz="0" w:space="0" w:color="D3D3D3"/>
              <w:bottom w:val="single" w:sz="0" w:space="0" w:color="D3D3D3"/>
              <w:right w:val="single" w:sz="0" w:space="0" w:color="D3D3D3"/>
            </w:tcBorders>
          </w:tcPr>
          <w:p w14:paraId="1A43FB4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3D0C741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61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1CE7C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81CB0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(2.9%)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56268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(3.8%)</w:t>
            </w:r>
          </w:p>
        </w:tc>
        <w:tc>
          <w:tcPr>
            <w:tcW w:w="0" w:type="auto"/>
            <w:tcBorders>
              <w:top w:val="single" w:sz="0" w:space="0" w:color="D3D3D3"/>
              <w:left w:val="single" w:sz="0" w:space="0" w:color="D3D3D3"/>
              <w:bottom w:val="single" w:sz="0" w:space="0" w:color="D3D3D3"/>
              <w:right w:val="single" w:sz="0" w:space="0" w:color="D3D3D3"/>
            </w:tcBorders>
          </w:tcPr>
          <w:p w14:paraId="2B10ED3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 (7.1%)</w:t>
            </w:r>
          </w:p>
        </w:tc>
        <w:tc>
          <w:tcPr>
            <w:tcW w:w="0" w:type="auto"/>
            <w:tcBorders>
              <w:top w:val="single" w:sz="0" w:space="0" w:color="D3D3D3"/>
              <w:left w:val="single" w:sz="0" w:space="0" w:color="D3D3D3"/>
              <w:bottom w:val="single" w:sz="0" w:space="0" w:color="D3D3D3"/>
              <w:right w:val="single" w:sz="0" w:space="0" w:color="D3D3D3"/>
            </w:tcBorders>
          </w:tcPr>
          <w:p w14:paraId="436977E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(5.7%)</w:t>
            </w:r>
          </w:p>
        </w:tc>
        <w:tc>
          <w:tcPr>
            <w:tcW w:w="0" w:type="auto"/>
            <w:tcBorders>
              <w:top w:val="single" w:sz="0" w:space="0" w:color="D3D3D3"/>
              <w:left w:val="single" w:sz="0" w:space="0" w:color="D3D3D3"/>
              <w:bottom w:val="single" w:sz="0" w:space="0" w:color="D3D3D3"/>
              <w:right w:val="single" w:sz="0" w:space="0" w:color="D3D3D3"/>
            </w:tcBorders>
          </w:tcPr>
          <w:p w14:paraId="402A9F3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 (3.5%)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2B75F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(0.9%)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45A902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 (1.9%)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158095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 (2.4%)</w:t>
            </w:r>
          </w:p>
        </w:tc>
      </w:tr>
      <w:tr w:rsidR="00535B97" w:rsidRPr="0035420C" w14:paraId="62494D2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C9BF56"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Age (years)</w:t>
            </w:r>
          </w:p>
        </w:tc>
        <w:tc>
          <w:tcPr>
            <w:tcW w:w="0" w:type="auto"/>
            <w:tcBorders>
              <w:top w:val="single" w:sz="0" w:space="0" w:color="D3D3D3"/>
              <w:left w:val="single" w:sz="0" w:space="0" w:color="D3D3D3"/>
              <w:bottom w:val="single" w:sz="0" w:space="0" w:color="D3D3D3"/>
              <w:right w:val="single" w:sz="0" w:space="0" w:color="D3D3D3"/>
            </w:tcBorders>
          </w:tcPr>
          <w:p w14:paraId="23BE04A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4BC586A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27 (32)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3CADA6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(27)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82899C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27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A109F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27 (31)</w:t>
            </w:r>
          </w:p>
        </w:tc>
        <w:tc>
          <w:tcPr>
            <w:tcW w:w="0" w:type="auto"/>
            <w:tcBorders>
              <w:top w:val="single" w:sz="0" w:space="0" w:color="D3D3D3"/>
              <w:left w:val="single" w:sz="0" w:space="0" w:color="D3D3D3"/>
              <w:bottom w:val="single" w:sz="0" w:space="0" w:color="D3D3D3"/>
              <w:right w:val="single" w:sz="0" w:space="0" w:color="D3D3D3"/>
            </w:tcBorders>
          </w:tcPr>
          <w:p w14:paraId="35072C6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26 (28)</w:t>
            </w:r>
          </w:p>
        </w:tc>
        <w:tc>
          <w:tcPr>
            <w:tcW w:w="0" w:type="auto"/>
            <w:tcBorders>
              <w:top w:val="single" w:sz="0" w:space="0" w:color="D3D3D3"/>
              <w:left w:val="single" w:sz="0" w:space="0" w:color="D3D3D3"/>
              <w:bottom w:val="single" w:sz="0" w:space="0" w:color="D3D3D3"/>
              <w:right w:val="single" w:sz="0" w:space="0" w:color="D3D3D3"/>
            </w:tcBorders>
          </w:tcPr>
          <w:p w14:paraId="6F40558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(29)</w:t>
            </w:r>
          </w:p>
        </w:tc>
        <w:tc>
          <w:tcPr>
            <w:tcW w:w="0" w:type="auto"/>
            <w:tcBorders>
              <w:top w:val="single" w:sz="0" w:space="0" w:color="D3D3D3"/>
              <w:left w:val="single" w:sz="0" w:space="0" w:color="D3D3D3"/>
              <w:bottom w:val="single" w:sz="0" w:space="0" w:color="D3D3D3"/>
              <w:right w:val="single" w:sz="0" w:space="0" w:color="D3D3D3"/>
            </w:tcBorders>
          </w:tcPr>
          <w:p w14:paraId="121EB0A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26 (25)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6CCE5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28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35A6B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(34)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84AA28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26 (32)</w:t>
            </w:r>
          </w:p>
        </w:tc>
      </w:tr>
      <w:tr w:rsidR="00535B97" w:rsidRPr="0035420C" w14:paraId="2ADE0EE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22FCEF"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Sex: Female</w:t>
            </w:r>
          </w:p>
        </w:tc>
        <w:tc>
          <w:tcPr>
            <w:tcW w:w="0" w:type="auto"/>
            <w:tcBorders>
              <w:top w:val="single" w:sz="0" w:space="0" w:color="D3D3D3"/>
              <w:left w:val="single" w:sz="0" w:space="0" w:color="D3D3D3"/>
              <w:bottom w:val="single" w:sz="0" w:space="0" w:color="D3D3D3"/>
              <w:right w:val="single" w:sz="0" w:space="0" w:color="D3D3D3"/>
            </w:tcBorders>
          </w:tcPr>
          <w:p w14:paraId="264E362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217FCA5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948 (51%)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82151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83 (46%)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F70EB8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104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A0771E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95 (46%)</w:t>
            </w:r>
          </w:p>
        </w:tc>
        <w:tc>
          <w:tcPr>
            <w:tcW w:w="0" w:type="auto"/>
            <w:tcBorders>
              <w:top w:val="single" w:sz="0" w:space="0" w:color="D3D3D3"/>
              <w:left w:val="single" w:sz="0" w:space="0" w:color="D3D3D3"/>
              <w:bottom w:val="single" w:sz="0" w:space="0" w:color="D3D3D3"/>
              <w:right w:val="single" w:sz="0" w:space="0" w:color="D3D3D3"/>
            </w:tcBorders>
          </w:tcPr>
          <w:p w14:paraId="1AA9940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121 (54%)</w:t>
            </w:r>
          </w:p>
        </w:tc>
        <w:tc>
          <w:tcPr>
            <w:tcW w:w="0" w:type="auto"/>
            <w:tcBorders>
              <w:top w:val="single" w:sz="0" w:space="0" w:color="D3D3D3"/>
              <w:left w:val="single" w:sz="0" w:space="0" w:color="D3D3D3"/>
              <w:bottom w:val="single" w:sz="0" w:space="0" w:color="D3D3D3"/>
              <w:right w:val="single" w:sz="0" w:space="0" w:color="D3D3D3"/>
            </w:tcBorders>
          </w:tcPr>
          <w:p w14:paraId="76A13DC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114 (50%)</w:t>
            </w:r>
          </w:p>
        </w:tc>
        <w:tc>
          <w:tcPr>
            <w:tcW w:w="0" w:type="auto"/>
            <w:tcBorders>
              <w:top w:val="single" w:sz="0" w:space="0" w:color="D3D3D3"/>
              <w:left w:val="single" w:sz="0" w:space="0" w:color="D3D3D3"/>
              <w:bottom w:val="single" w:sz="0" w:space="0" w:color="D3D3D3"/>
              <w:right w:val="single" w:sz="0" w:space="0" w:color="D3D3D3"/>
            </w:tcBorders>
          </w:tcPr>
          <w:p w14:paraId="22CB64E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75 (52%)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EA4CD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127 (54%)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A923E3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113 (54%)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76A0F6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116 (57%)</w:t>
            </w:r>
          </w:p>
        </w:tc>
      </w:tr>
      <w:tr w:rsidR="00535B97" w:rsidRPr="0035420C" w14:paraId="462599F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EE9301"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Education*</w:t>
            </w:r>
            <w:r w:rsidRPr="0035420C">
              <w:rPr>
                <w:rFonts w:ascii="Calibri" w:hAnsi="Calibri"/>
                <w:b/>
                <w:i/>
                <w:sz w:val="16"/>
                <w:szCs w:val="16"/>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128A541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1,402</w:t>
            </w:r>
          </w:p>
        </w:tc>
        <w:tc>
          <w:tcPr>
            <w:tcW w:w="0" w:type="auto"/>
            <w:tcBorders>
              <w:top w:val="single" w:sz="0" w:space="0" w:color="D3D3D3"/>
              <w:left w:val="single" w:sz="0" w:space="0" w:color="D3D3D3"/>
              <w:bottom w:val="single" w:sz="0" w:space="0" w:color="D3D3D3"/>
              <w:right w:val="single" w:sz="0" w:space="0" w:color="D3D3D3"/>
            </w:tcBorders>
          </w:tcPr>
          <w:p w14:paraId="5FC9088A"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597E95"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A59FBEA"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921F50F"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66C30B00"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6389F4EF"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3E867148"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6B4A5AE"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44EBD7"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185299" w14:textId="77777777" w:rsidR="00535B97" w:rsidRPr="0035420C" w:rsidRDefault="00535B97" w:rsidP="0035420C">
            <w:pPr>
              <w:keepNext/>
              <w:spacing w:before="0" w:after="60" w:line="240" w:lineRule="auto"/>
              <w:jc w:val="center"/>
              <w:rPr>
                <w:sz w:val="16"/>
                <w:szCs w:val="16"/>
              </w:rPr>
            </w:pPr>
          </w:p>
        </w:tc>
      </w:tr>
      <w:tr w:rsidR="00535B97" w:rsidRPr="0035420C" w14:paraId="1A160EC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905F2A"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None</w:t>
            </w:r>
          </w:p>
        </w:tc>
        <w:tc>
          <w:tcPr>
            <w:tcW w:w="0" w:type="auto"/>
            <w:tcBorders>
              <w:top w:val="single" w:sz="0" w:space="0" w:color="D3D3D3"/>
              <w:left w:val="single" w:sz="0" w:space="0" w:color="D3D3D3"/>
              <w:bottom w:val="single" w:sz="0" w:space="0" w:color="D3D3D3"/>
              <w:right w:val="single" w:sz="0" w:space="0" w:color="D3D3D3"/>
            </w:tcBorders>
          </w:tcPr>
          <w:p w14:paraId="5C9F9E3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728529D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224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9A263E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5E0B16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36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8026D5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27 (17%)</w:t>
            </w:r>
          </w:p>
        </w:tc>
        <w:tc>
          <w:tcPr>
            <w:tcW w:w="0" w:type="auto"/>
            <w:tcBorders>
              <w:top w:val="single" w:sz="0" w:space="0" w:color="D3D3D3"/>
              <w:left w:val="single" w:sz="0" w:space="0" w:color="D3D3D3"/>
              <w:bottom w:val="single" w:sz="0" w:space="0" w:color="D3D3D3"/>
              <w:right w:val="single" w:sz="0" w:space="0" w:color="D3D3D3"/>
            </w:tcBorders>
          </w:tcPr>
          <w:p w14:paraId="1029BA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35 (21%)</w:t>
            </w:r>
          </w:p>
        </w:tc>
        <w:tc>
          <w:tcPr>
            <w:tcW w:w="0" w:type="auto"/>
            <w:tcBorders>
              <w:top w:val="single" w:sz="0" w:space="0" w:color="D3D3D3"/>
              <w:left w:val="single" w:sz="0" w:space="0" w:color="D3D3D3"/>
              <w:bottom w:val="single" w:sz="0" w:space="0" w:color="D3D3D3"/>
              <w:right w:val="single" w:sz="0" w:space="0" w:color="D3D3D3"/>
            </w:tcBorders>
          </w:tcPr>
          <w:p w14:paraId="2BDB686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 (5.1%)</w:t>
            </w:r>
          </w:p>
        </w:tc>
        <w:tc>
          <w:tcPr>
            <w:tcW w:w="0" w:type="auto"/>
            <w:tcBorders>
              <w:top w:val="single" w:sz="0" w:space="0" w:color="D3D3D3"/>
              <w:left w:val="single" w:sz="0" w:space="0" w:color="D3D3D3"/>
              <w:bottom w:val="single" w:sz="0" w:space="0" w:color="D3D3D3"/>
              <w:right w:val="single" w:sz="0" w:space="0" w:color="D3D3D3"/>
            </w:tcBorders>
          </w:tcPr>
          <w:p w14:paraId="1B40AC2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15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1A311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24 (14%)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6DAD53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28 (18%)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431805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34 (22%)</w:t>
            </w:r>
          </w:p>
        </w:tc>
      </w:tr>
      <w:tr w:rsidR="00535B97" w:rsidRPr="0035420C" w14:paraId="4D9C144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42D651"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Primary</w:t>
            </w:r>
          </w:p>
        </w:tc>
        <w:tc>
          <w:tcPr>
            <w:tcW w:w="0" w:type="auto"/>
            <w:tcBorders>
              <w:top w:val="single" w:sz="0" w:space="0" w:color="D3D3D3"/>
              <w:left w:val="single" w:sz="0" w:space="0" w:color="D3D3D3"/>
              <w:bottom w:val="single" w:sz="0" w:space="0" w:color="D3D3D3"/>
              <w:right w:val="single" w:sz="0" w:space="0" w:color="D3D3D3"/>
            </w:tcBorders>
          </w:tcPr>
          <w:p w14:paraId="2E24C75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53FFBC8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535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4F161A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53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B3C749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51 (32%)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950FFA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51 (32%)</w:t>
            </w:r>
          </w:p>
        </w:tc>
        <w:tc>
          <w:tcPr>
            <w:tcW w:w="0" w:type="auto"/>
            <w:tcBorders>
              <w:top w:val="single" w:sz="0" w:space="0" w:color="D3D3D3"/>
              <w:left w:val="single" w:sz="0" w:space="0" w:color="D3D3D3"/>
              <w:bottom w:val="single" w:sz="0" w:space="0" w:color="D3D3D3"/>
              <w:right w:val="single" w:sz="0" w:space="0" w:color="D3D3D3"/>
            </w:tcBorders>
          </w:tcPr>
          <w:p w14:paraId="236B56E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42 (25%)</w:t>
            </w:r>
          </w:p>
        </w:tc>
        <w:tc>
          <w:tcPr>
            <w:tcW w:w="0" w:type="auto"/>
            <w:tcBorders>
              <w:top w:val="single" w:sz="0" w:space="0" w:color="D3D3D3"/>
              <w:left w:val="single" w:sz="0" w:space="0" w:color="D3D3D3"/>
              <w:bottom w:val="single" w:sz="0" w:space="0" w:color="D3D3D3"/>
              <w:right w:val="single" w:sz="0" w:space="0" w:color="D3D3D3"/>
            </w:tcBorders>
          </w:tcPr>
          <w:p w14:paraId="67F16AC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61 (34%)</w:t>
            </w:r>
          </w:p>
        </w:tc>
        <w:tc>
          <w:tcPr>
            <w:tcW w:w="0" w:type="auto"/>
            <w:tcBorders>
              <w:top w:val="single" w:sz="0" w:space="0" w:color="D3D3D3"/>
              <w:left w:val="single" w:sz="0" w:space="0" w:color="D3D3D3"/>
              <w:bottom w:val="single" w:sz="0" w:space="0" w:color="D3D3D3"/>
              <w:right w:val="single" w:sz="0" w:space="0" w:color="D3D3D3"/>
            </w:tcBorders>
          </w:tcPr>
          <w:p w14:paraId="3399469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366FA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110 (63%)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565BD6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80 (52%)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209FB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(41%)</w:t>
            </w:r>
          </w:p>
        </w:tc>
      </w:tr>
      <w:tr w:rsidR="00535B97" w:rsidRPr="0035420C" w14:paraId="50887B8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C20D94"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Secondary</w:t>
            </w:r>
          </w:p>
        </w:tc>
        <w:tc>
          <w:tcPr>
            <w:tcW w:w="0" w:type="auto"/>
            <w:tcBorders>
              <w:top w:val="single" w:sz="0" w:space="0" w:color="D3D3D3"/>
              <w:left w:val="single" w:sz="0" w:space="0" w:color="D3D3D3"/>
              <w:bottom w:val="single" w:sz="0" w:space="0" w:color="D3D3D3"/>
              <w:right w:val="single" w:sz="0" w:space="0" w:color="D3D3D3"/>
            </w:tcBorders>
          </w:tcPr>
          <w:p w14:paraId="6A8FCC4B"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299D37E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581 (41%)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F759C6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64 (46%)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FD602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64 (41%)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C5E780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81 (51%)</w:t>
            </w:r>
          </w:p>
        </w:tc>
        <w:tc>
          <w:tcPr>
            <w:tcW w:w="0" w:type="auto"/>
            <w:tcBorders>
              <w:top w:val="single" w:sz="0" w:space="0" w:color="D3D3D3"/>
              <w:left w:val="single" w:sz="0" w:space="0" w:color="D3D3D3"/>
              <w:bottom w:val="single" w:sz="0" w:space="0" w:color="D3D3D3"/>
              <w:right w:val="single" w:sz="0" w:space="0" w:color="D3D3D3"/>
            </w:tcBorders>
          </w:tcPr>
          <w:p w14:paraId="7F2EB54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80 (47%)</w:t>
            </w:r>
          </w:p>
        </w:tc>
        <w:tc>
          <w:tcPr>
            <w:tcW w:w="0" w:type="auto"/>
            <w:tcBorders>
              <w:top w:val="single" w:sz="0" w:space="0" w:color="D3D3D3"/>
              <w:left w:val="single" w:sz="0" w:space="0" w:color="D3D3D3"/>
              <w:bottom w:val="single" w:sz="0" w:space="0" w:color="D3D3D3"/>
              <w:right w:val="single" w:sz="0" w:space="0" w:color="D3D3D3"/>
            </w:tcBorders>
          </w:tcPr>
          <w:p w14:paraId="3DED227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97 (55%)</w:t>
            </w:r>
          </w:p>
        </w:tc>
        <w:tc>
          <w:tcPr>
            <w:tcW w:w="0" w:type="auto"/>
            <w:tcBorders>
              <w:top w:val="single" w:sz="0" w:space="0" w:color="D3D3D3"/>
              <w:left w:val="single" w:sz="0" w:space="0" w:color="D3D3D3"/>
              <w:bottom w:val="single" w:sz="0" w:space="0" w:color="D3D3D3"/>
              <w:right w:val="single" w:sz="0" w:space="0" w:color="D3D3D3"/>
            </w:tcBorders>
          </w:tcPr>
          <w:p w14:paraId="4D4FCF3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67 (58%)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CDAD0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41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74A26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43 (28%)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F879C6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44 (29%)</w:t>
            </w:r>
          </w:p>
        </w:tc>
      </w:tr>
      <w:tr w:rsidR="00535B97" w:rsidRPr="0035420C" w14:paraId="088B44C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F7CEE6"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Post-secondary</w:t>
            </w:r>
          </w:p>
        </w:tc>
        <w:tc>
          <w:tcPr>
            <w:tcW w:w="0" w:type="auto"/>
            <w:tcBorders>
              <w:top w:val="single" w:sz="0" w:space="0" w:color="D3D3D3"/>
              <w:left w:val="single" w:sz="0" w:space="0" w:color="D3D3D3"/>
              <w:bottom w:val="single" w:sz="0" w:space="0" w:color="D3D3D3"/>
              <w:right w:val="single" w:sz="0" w:space="0" w:color="D3D3D3"/>
            </w:tcBorders>
          </w:tcPr>
          <w:p w14:paraId="23C913C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7408013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(4.4%)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224ACD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406D38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4ED906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 (0.6%)</w:t>
            </w:r>
          </w:p>
        </w:tc>
        <w:tc>
          <w:tcPr>
            <w:tcW w:w="0" w:type="auto"/>
            <w:tcBorders>
              <w:top w:val="single" w:sz="0" w:space="0" w:color="D3D3D3"/>
              <w:left w:val="single" w:sz="0" w:space="0" w:color="D3D3D3"/>
              <w:bottom w:val="single" w:sz="0" w:space="0" w:color="D3D3D3"/>
              <w:right w:val="single" w:sz="0" w:space="0" w:color="D3D3D3"/>
            </w:tcBorders>
          </w:tcPr>
          <w:p w14:paraId="78CA69C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(7.6%)</w:t>
            </w:r>
          </w:p>
        </w:tc>
        <w:tc>
          <w:tcPr>
            <w:tcW w:w="0" w:type="auto"/>
            <w:tcBorders>
              <w:top w:val="single" w:sz="0" w:space="0" w:color="D3D3D3"/>
              <w:left w:val="single" w:sz="0" w:space="0" w:color="D3D3D3"/>
              <w:bottom w:val="single" w:sz="0" w:space="0" w:color="D3D3D3"/>
              <w:right w:val="single" w:sz="0" w:space="0" w:color="D3D3D3"/>
            </w:tcBorders>
          </w:tcPr>
          <w:p w14:paraId="084902B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(5.6%)</w:t>
            </w:r>
          </w:p>
        </w:tc>
        <w:tc>
          <w:tcPr>
            <w:tcW w:w="0" w:type="auto"/>
            <w:tcBorders>
              <w:top w:val="single" w:sz="0" w:space="0" w:color="D3D3D3"/>
              <w:left w:val="single" w:sz="0" w:space="0" w:color="D3D3D3"/>
              <w:bottom w:val="single" w:sz="0" w:space="0" w:color="D3D3D3"/>
              <w:right w:val="single" w:sz="0" w:space="0" w:color="D3D3D3"/>
            </w:tcBorders>
          </w:tcPr>
          <w:p w14:paraId="73FAC17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 (7.8%)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5DD8E0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 (0.6%)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F9FB16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 (2.6%)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C64F80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 (7.9%)</w:t>
            </w:r>
          </w:p>
        </w:tc>
      </w:tr>
      <w:tr w:rsidR="00535B97" w:rsidRPr="0035420C" w14:paraId="6F7F78C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DAA79D"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Born in study village*</w:t>
            </w:r>
            <w:r w:rsidRPr="0035420C">
              <w:rPr>
                <w:rFonts w:ascii="Calibri" w:hAnsi="Calibri"/>
                <w:b/>
                <w:i/>
                <w:sz w:val="16"/>
                <w:szCs w:val="16"/>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1C5D0EA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1,398</w:t>
            </w:r>
          </w:p>
        </w:tc>
        <w:tc>
          <w:tcPr>
            <w:tcW w:w="0" w:type="auto"/>
            <w:tcBorders>
              <w:top w:val="single" w:sz="0" w:space="0" w:color="D3D3D3"/>
              <w:left w:val="single" w:sz="0" w:space="0" w:color="D3D3D3"/>
              <w:bottom w:val="single" w:sz="0" w:space="0" w:color="D3D3D3"/>
              <w:right w:val="single" w:sz="0" w:space="0" w:color="D3D3D3"/>
            </w:tcBorders>
          </w:tcPr>
          <w:p w14:paraId="3907BD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1,031 (74%)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8F48DB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80 (58%)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ED0E7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83 (53%)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951414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96 (61%)</w:t>
            </w:r>
          </w:p>
        </w:tc>
        <w:tc>
          <w:tcPr>
            <w:tcW w:w="0" w:type="auto"/>
            <w:tcBorders>
              <w:top w:val="single" w:sz="0" w:space="0" w:color="D3D3D3"/>
              <w:left w:val="single" w:sz="0" w:space="0" w:color="D3D3D3"/>
              <w:bottom w:val="single" w:sz="0" w:space="0" w:color="D3D3D3"/>
              <w:right w:val="single" w:sz="0" w:space="0" w:color="D3D3D3"/>
            </w:tcBorders>
          </w:tcPr>
          <w:p w14:paraId="5D42FEC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149 (88%)</w:t>
            </w:r>
          </w:p>
        </w:tc>
        <w:tc>
          <w:tcPr>
            <w:tcW w:w="0" w:type="auto"/>
            <w:tcBorders>
              <w:top w:val="single" w:sz="0" w:space="0" w:color="D3D3D3"/>
              <w:left w:val="single" w:sz="0" w:space="0" w:color="D3D3D3"/>
              <w:bottom w:val="single" w:sz="0" w:space="0" w:color="D3D3D3"/>
              <w:right w:val="single" w:sz="0" w:space="0" w:color="D3D3D3"/>
            </w:tcBorders>
          </w:tcPr>
          <w:p w14:paraId="6E3560B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169 (95%)</w:t>
            </w:r>
          </w:p>
        </w:tc>
        <w:tc>
          <w:tcPr>
            <w:tcW w:w="0" w:type="auto"/>
            <w:tcBorders>
              <w:top w:val="single" w:sz="0" w:space="0" w:color="D3D3D3"/>
              <w:left w:val="single" w:sz="0" w:space="0" w:color="D3D3D3"/>
              <w:bottom w:val="single" w:sz="0" w:space="0" w:color="D3D3D3"/>
              <w:right w:val="single" w:sz="0" w:space="0" w:color="D3D3D3"/>
            </w:tcBorders>
          </w:tcPr>
          <w:p w14:paraId="10CC952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101 (87%)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3824A5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132 (75%)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86AB14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111 (72%)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0203AE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110 (72%)</w:t>
            </w:r>
          </w:p>
        </w:tc>
      </w:tr>
      <w:tr w:rsidR="00535B97" w:rsidRPr="0035420C" w14:paraId="120FBE6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49E04A"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Occupation: Farmer</w:t>
            </w:r>
          </w:p>
        </w:tc>
        <w:tc>
          <w:tcPr>
            <w:tcW w:w="0" w:type="auto"/>
            <w:tcBorders>
              <w:top w:val="single" w:sz="0" w:space="0" w:color="D3D3D3"/>
              <w:left w:val="single" w:sz="0" w:space="0" w:color="D3D3D3"/>
              <w:bottom w:val="single" w:sz="0" w:space="0" w:color="D3D3D3"/>
              <w:right w:val="single" w:sz="0" w:space="0" w:color="D3D3D3"/>
            </w:tcBorders>
          </w:tcPr>
          <w:p w14:paraId="152E1EF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2566F0C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1,083 (59%)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92EDBB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129 (72%)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5B0509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132 (63%)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81007B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121 (58%)</w:t>
            </w:r>
          </w:p>
        </w:tc>
        <w:tc>
          <w:tcPr>
            <w:tcW w:w="0" w:type="auto"/>
            <w:tcBorders>
              <w:top w:val="single" w:sz="0" w:space="0" w:color="D3D3D3"/>
              <w:left w:val="single" w:sz="0" w:space="0" w:color="D3D3D3"/>
              <w:bottom w:val="single" w:sz="0" w:space="0" w:color="D3D3D3"/>
              <w:right w:val="single" w:sz="0" w:space="0" w:color="D3D3D3"/>
            </w:tcBorders>
          </w:tcPr>
          <w:p w14:paraId="0A05026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123 (55%)</w:t>
            </w:r>
          </w:p>
        </w:tc>
        <w:tc>
          <w:tcPr>
            <w:tcW w:w="0" w:type="auto"/>
            <w:tcBorders>
              <w:top w:val="single" w:sz="0" w:space="0" w:color="D3D3D3"/>
              <w:left w:val="single" w:sz="0" w:space="0" w:color="D3D3D3"/>
              <w:bottom w:val="single" w:sz="0" w:space="0" w:color="D3D3D3"/>
              <w:right w:val="single" w:sz="0" w:space="0" w:color="D3D3D3"/>
            </w:tcBorders>
          </w:tcPr>
          <w:p w14:paraId="7D39D3C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145 (63%)</w:t>
            </w:r>
          </w:p>
        </w:tc>
        <w:tc>
          <w:tcPr>
            <w:tcW w:w="0" w:type="auto"/>
            <w:tcBorders>
              <w:top w:val="single" w:sz="0" w:space="0" w:color="D3D3D3"/>
              <w:left w:val="single" w:sz="0" w:space="0" w:color="D3D3D3"/>
              <w:bottom w:val="single" w:sz="0" w:space="0" w:color="D3D3D3"/>
              <w:right w:val="single" w:sz="0" w:space="0" w:color="D3D3D3"/>
            </w:tcBorders>
          </w:tcPr>
          <w:p w14:paraId="2E7D5EA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101 (71%)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A4970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117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7423B5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104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2EB25A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111 (54%)</w:t>
            </w:r>
          </w:p>
        </w:tc>
      </w:tr>
      <w:tr w:rsidR="00535B97" w:rsidRPr="0035420C" w14:paraId="566B0FD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0917C6"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Occupation: Agricultural worker</w:t>
            </w:r>
          </w:p>
        </w:tc>
        <w:tc>
          <w:tcPr>
            <w:tcW w:w="0" w:type="auto"/>
            <w:tcBorders>
              <w:top w:val="single" w:sz="0" w:space="0" w:color="D3D3D3"/>
              <w:left w:val="single" w:sz="0" w:space="0" w:color="D3D3D3"/>
              <w:bottom w:val="single" w:sz="0" w:space="0" w:color="D3D3D3"/>
              <w:right w:val="single" w:sz="0" w:space="0" w:color="D3D3D3"/>
            </w:tcBorders>
          </w:tcPr>
          <w:p w14:paraId="54E1A59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6F99DD6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151 (8.2%)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CCFBE6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(4.5%)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8C7D37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508BE5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 (4.3%)</w:t>
            </w:r>
          </w:p>
        </w:tc>
        <w:tc>
          <w:tcPr>
            <w:tcW w:w="0" w:type="auto"/>
            <w:tcBorders>
              <w:top w:val="single" w:sz="0" w:space="0" w:color="D3D3D3"/>
              <w:left w:val="single" w:sz="0" w:space="0" w:color="D3D3D3"/>
              <w:bottom w:val="single" w:sz="0" w:space="0" w:color="D3D3D3"/>
              <w:right w:val="single" w:sz="0" w:space="0" w:color="D3D3D3"/>
            </w:tcBorders>
          </w:tcPr>
          <w:p w14:paraId="2B7C0E3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(5.8%)</w:t>
            </w:r>
          </w:p>
        </w:tc>
        <w:tc>
          <w:tcPr>
            <w:tcW w:w="0" w:type="auto"/>
            <w:tcBorders>
              <w:top w:val="single" w:sz="0" w:space="0" w:color="D3D3D3"/>
              <w:left w:val="single" w:sz="0" w:space="0" w:color="D3D3D3"/>
              <w:bottom w:val="single" w:sz="0" w:space="0" w:color="D3D3D3"/>
              <w:right w:val="single" w:sz="0" w:space="0" w:color="D3D3D3"/>
            </w:tcBorders>
          </w:tcPr>
          <w:p w14:paraId="513932C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21 (9.1%)</w:t>
            </w:r>
          </w:p>
        </w:tc>
        <w:tc>
          <w:tcPr>
            <w:tcW w:w="0" w:type="auto"/>
            <w:tcBorders>
              <w:top w:val="single" w:sz="0" w:space="0" w:color="D3D3D3"/>
              <w:left w:val="single" w:sz="0" w:space="0" w:color="D3D3D3"/>
              <w:bottom w:val="single" w:sz="0" w:space="0" w:color="D3D3D3"/>
              <w:right w:val="single" w:sz="0" w:space="0" w:color="D3D3D3"/>
            </w:tcBorders>
          </w:tcPr>
          <w:p w14:paraId="1A5F143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C96E30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31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90A96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32 (15%)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C0E70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(12%)</w:t>
            </w:r>
          </w:p>
        </w:tc>
      </w:tr>
      <w:tr w:rsidR="00535B97" w:rsidRPr="0035420C" w14:paraId="1385D1D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4B9C52"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Occupation: Trader</w:t>
            </w:r>
          </w:p>
        </w:tc>
        <w:tc>
          <w:tcPr>
            <w:tcW w:w="0" w:type="auto"/>
            <w:tcBorders>
              <w:top w:val="single" w:sz="0" w:space="0" w:color="D3D3D3"/>
              <w:left w:val="single" w:sz="0" w:space="0" w:color="D3D3D3"/>
              <w:bottom w:val="single" w:sz="0" w:space="0" w:color="D3D3D3"/>
              <w:right w:val="single" w:sz="0" w:space="0" w:color="D3D3D3"/>
            </w:tcBorders>
          </w:tcPr>
          <w:p w14:paraId="43B8E13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26A5A6C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312 (17%)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BFBA39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39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FBFB16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46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8054BD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28 (13%)</w:t>
            </w:r>
          </w:p>
        </w:tc>
        <w:tc>
          <w:tcPr>
            <w:tcW w:w="0" w:type="auto"/>
            <w:tcBorders>
              <w:top w:val="single" w:sz="0" w:space="0" w:color="D3D3D3"/>
              <w:left w:val="single" w:sz="0" w:space="0" w:color="D3D3D3"/>
              <w:bottom w:val="single" w:sz="0" w:space="0" w:color="D3D3D3"/>
              <w:right w:val="single" w:sz="0" w:space="0" w:color="D3D3D3"/>
            </w:tcBorders>
          </w:tcPr>
          <w:p w14:paraId="3E3BD41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(11%)</w:t>
            </w:r>
          </w:p>
        </w:tc>
        <w:tc>
          <w:tcPr>
            <w:tcW w:w="0" w:type="auto"/>
            <w:tcBorders>
              <w:top w:val="single" w:sz="0" w:space="0" w:color="D3D3D3"/>
              <w:left w:val="single" w:sz="0" w:space="0" w:color="D3D3D3"/>
              <w:bottom w:val="single" w:sz="0" w:space="0" w:color="D3D3D3"/>
              <w:right w:val="single" w:sz="0" w:space="0" w:color="D3D3D3"/>
            </w:tcBorders>
          </w:tcPr>
          <w:p w14:paraId="1843834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 (8.7%)</w:t>
            </w:r>
          </w:p>
        </w:tc>
        <w:tc>
          <w:tcPr>
            <w:tcW w:w="0" w:type="auto"/>
            <w:tcBorders>
              <w:top w:val="single" w:sz="0" w:space="0" w:color="D3D3D3"/>
              <w:left w:val="single" w:sz="0" w:space="0" w:color="D3D3D3"/>
              <w:bottom w:val="single" w:sz="0" w:space="0" w:color="D3D3D3"/>
              <w:right w:val="single" w:sz="0" w:space="0" w:color="D3D3D3"/>
            </w:tcBorders>
          </w:tcPr>
          <w:p w14:paraId="710FA18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15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B5232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53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313022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(19%)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B46BB2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46 (22%)</w:t>
            </w:r>
          </w:p>
        </w:tc>
      </w:tr>
      <w:tr w:rsidR="00535B97" w:rsidRPr="0035420C" w14:paraId="5FE290F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CFA123"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Rodent consumption*</w:t>
            </w:r>
            <w:r w:rsidRPr="0035420C">
              <w:rPr>
                <w:rFonts w:ascii="Calibri" w:hAnsi="Calibri"/>
                <w:b/>
                <w:i/>
                <w:sz w:val="16"/>
                <w:szCs w:val="16"/>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2B657D8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1,404</w:t>
            </w:r>
          </w:p>
        </w:tc>
        <w:tc>
          <w:tcPr>
            <w:tcW w:w="0" w:type="auto"/>
            <w:tcBorders>
              <w:top w:val="single" w:sz="0" w:space="0" w:color="D3D3D3"/>
              <w:left w:val="single" w:sz="0" w:space="0" w:color="D3D3D3"/>
              <w:bottom w:val="single" w:sz="0" w:space="0" w:color="D3D3D3"/>
              <w:right w:val="single" w:sz="0" w:space="0" w:color="D3D3D3"/>
            </w:tcBorders>
          </w:tcPr>
          <w:p w14:paraId="6F8C83C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777 (55%)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CA8087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127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559864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144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6817C4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144 (90%)</w:t>
            </w:r>
          </w:p>
        </w:tc>
        <w:tc>
          <w:tcPr>
            <w:tcW w:w="0" w:type="auto"/>
            <w:tcBorders>
              <w:top w:val="single" w:sz="0" w:space="0" w:color="D3D3D3"/>
              <w:left w:val="single" w:sz="0" w:space="0" w:color="D3D3D3"/>
              <w:bottom w:val="single" w:sz="0" w:space="0" w:color="D3D3D3"/>
              <w:right w:val="single" w:sz="0" w:space="0" w:color="D3D3D3"/>
            </w:tcBorders>
          </w:tcPr>
          <w:p w14:paraId="1088AC5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113 (66%)</w:t>
            </w:r>
          </w:p>
        </w:tc>
        <w:tc>
          <w:tcPr>
            <w:tcW w:w="0" w:type="auto"/>
            <w:tcBorders>
              <w:top w:val="single" w:sz="0" w:space="0" w:color="D3D3D3"/>
              <w:left w:val="single" w:sz="0" w:space="0" w:color="D3D3D3"/>
              <w:bottom w:val="single" w:sz="0" w:space="0" w:color="D3D3D3"/>
              <w:right w:val="single" w:sz="0" w:space="0" w:color="D3D3D3"/>
            </w:tcBorders>
          </w:tcPr>
          <w:p w14:paraId="66497B6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130 (73%)</w:t>
            </w:r>
          </w:p>
        </w:tc>
        <w:tc>
          <w:tcPr>
            <w:tcW w:w="0" w:type="auto"/>
            <w:tcBorders>
              <w:top w:val="single" w:sz="0" w:space="0" w:color="D3D3D3"/>
              <w:left w:val="single" w:sz="0" w:space="0" w:color="D3D3D3"/>
              <w:bottom w:val="single" w:sz="0" w:space="0" w:color="D3D3D3"/>
              <w:right w:val="single" w:sz="0" w:space="0" w:color="D3D3D3"/>
            </w:tcBorders>
          </w:tcPr>
          <w:p w14:paraId="2C10BFF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72 (62%)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9A054F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 (8.0%)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6E9895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 (4.5%)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84591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26 (17%)</w:t>
            </w:r>
          </w:p>
        </w:tc>
      </w:tr>
      <w:tr w:rsidR="00535B97" w:rsidRPr="0035420C" w14:paraId="1F5DFD9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DFC3C6"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Past rodent consumption only*</w:t>
            </w:r>
            <w:r w:rsidRPr="0035420C">
              <w:rPr>
                <w:rFonts w:ascii="Calibri" w:hAnsi="Calibri"/>
                <w:b/>
                <w:i/>
                <w:sz w:val="16"/>
                <w:szCs w:val="16"/>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5066425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627</w:t>
            </w:r>
          </w:p>
        </w:tc>
        <w:tc>
          <w:tcPr>
            <w:tcW w:w="0" w:type="auto"/>
            <w:tcBorders>
              <w:top w:val="single" w:sz="0" w:space="0" w:color="D3D3D3"/>
              <w:left w:val="single" w:sz="0" w:space="0" w:color="D3D3D3"/>
              <w:bottom w:val="single" w:sz="0" w:space="0" w:color="D3D3D3"/>
              <w:right w:val="single" w:sz="0" w:space="0" w:color="D3D3D3"/>
            </w:tcBorders>
          </w:tcPr>
          <w:p w14:paraId="7E0B10E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446 (71%)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93D12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(83%)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6CB5BE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 (79%)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290554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(81%)</w:t>
            </w:r>
          </w:p>
        </w:tc>
        <w:tc>
          <w:tcPr>
            <w:tcW w:w="0" w:type="auto"/>
            <w:tcBorders>
              <w:top w:val="single" w:sz="0" w:space="0" w:color="D3D3D3"/>
              <w:left w:val="single" w:sz="0" w:space="0" w:color="D3D3D3"/>
              <w:bottom w:val="single" w:sz="0" w:space="0" w:color="D3D3D3"/>
              <w:right w:val="single" w:sz="0" w:space="0" w:color="D3D3D3"/>
            </w:tcBorders>
          </w:tcPr>
          <w:p w14:paraId="3624416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32 (56%)</w:t>
            </w:r>
          </w:p>
        </w:tc>
        <w:tc>
          <w:tcPr>
            <w:tcW w:w="0" w:type="auto"/>
            <w:tcBorders>
              <w:top w:val="single" w:sz="0" w:space="0" w:color="D3D3D3"/>
              <w:left w:val="single" w:sz="0" w:space="0" w:color="D3D3D3"/>
              <w:bottom w:val="single" w:sz="0" w:space="0" w:color="D3D3D3"/>
              <w:right w:val="single" w:sz="0" w:space="0" w:color="D3D3D3"/>
            </w:tcBorders>
          </w:tcPr>
          <w:p w14:paraId="27EE30F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(63%)</w:t>
            </w:r>
          </w:p>
        </w:tc>
        <w:tc>
          <w:tcPr>
            <w:tcW w:w="0" w:type="auto"/>
            <w:tcBorders>
              <w:top w:val="single" w:sz="0" w:space="0" w:color="D3D3D3"/>
              <w:left w:val="single" w:sz="0" w:space="0" w:color="D3D3D3"/>
              <w:bottom w:val="single" w:sz="0" w:space="0" w:color="D3D3D3"/>
              <w:right w:val="single" w:sz="0" w:space="0" w:color="D3D3D3"/>
            </w:tcBorders>
          </w:tcPr>
          <w:p w14:paraId="77D922B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(68%)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01575A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109 (67%)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50A53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113 (76%)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ADE5B3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98 (78%)</w:t>
            </w:r>
          </w:p>
        </w:tc>
      </w:tr>
      <w:tr w:rsidR="00535B97" w:rsidRPr="0035420C" w14:paraId="1BB9343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D71F16"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Cleaned rodent excreta</w:t>
            </w:r>
          </w:p>
        </w:tc>
        <w:tc>
          <w:tcPr>
            <w:tcW w:w="0" w:type="auto"/>
            <w:tcBorders>
              <w:top w:val="single" w:sz="0" w:space="0" w:color="D3D3D3"/>
              <w:left w:val="single" w:sz="0" w:space="0" w:color="D3D3D3"/>
              <w:bottom w:val="single" w:sz="0" w:space="0" w:color="D3D3D3"/>
              <w:right w:val="single" w:sz="0" w:space="0" w:color="D3D3D3"/>
            </w:tcBorders>
          </w:tcPr>
          <w:p w14:paraId="1ED091E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1,407</w:t>
            </w:r>
          </w:p>
        </w:tc>
        <w:tc>
          <w:tcPr>
            <w:tcW w:w="0" w:type="auto"/>
            <w:tcBorders>
              <w:top w:val="single" w:sz="0" w:space="0" w:color="D3D3D3"/>
              <w:left w:val="single" w:sz="0" w:space="0" w:color="D3D3D3"/>
              <w:bottom w:val="single" w:sz="0" w:space="0" w:color="D3D3D3"/>
              <w:right w:val="single" w:sz="0" w:space="0" w:color="D3D3D3"/>
            </w:tcBorders>
          </w:tcPr>
          <w:p w14:paraId="4279BE4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1,231 (87%)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84A91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95 (67%)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356C8C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143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60EE0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130 (81%)</w:t>
            </w:r>
          </w:p>
        </w:tc>
        <w:tc>
          <w:tcPr>
            <w:tcW w:w="0" w:type="auto"/>
            <w:tcBorders>
              <w:top w:val="single" w:sz="0" w:space="0" w:color="D3D3D3"/>
              <w:left w:val="single" w:sz="0" w:space="0" w:color="D3D3D3"/>
              <w:bottom w:val="single" w:sz="0" w:space="0" w:color="D3D3D3"/>
              <w:right w:val="single" w:sz="0" w:space="0" w:color="D3D3D3"/>
            </w:tcBorders>
          </w:tcPr>
          <w:p w14:paraId="48977E4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157 (92%)</w:t>
            </w:r>
          </w:p>
        </w:tc>
        <w:tc>
          <w:tcPr>
            <w:tcW w:w="0" w:type="auto"/>
            <w:tcBorders>
              <w:top w:val="single" w:sz="0" w:space="0" w:color="D3D3D3"/>
              <w:left w:val="single" w:sz="0" w:space="0" w:color="D3D3D3"/>
              <w:bottom w:val="single" w:sz="0" w:space="0" w:color="D3D3D3"/>
              <w:right w:val="single" w:sz="0" w:space="0" w:color="D3D3D3"/>
            </w:tcBorders>
          </w:tcPr>
          <w:p w14:paraId="76D4EC9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167 (94%)</w:t>
            </w:r>
          </w:p>
        </w:tc>
        <w:tc>
          <w:tcPr>
            <w:tcW w:w="0" w:type="auto"/>
            <w:tcBorders>
              <w:top w:val="single" w:sz="0" w:space="0" w:color="D3D3D3"/>
              <w:left w:val="single" w:sz="0" w:space="0" w:color="D3D3D3"/>
              <w:bottom w:val="single" w:sz="0" w:space="0" w:color="D3D3D3"/>
              <w:right w:val="single" w:sz="0" w:space="0" w:color="D3D3D3"/>
            </w:tcBorders>
          </w:tcPr>
          <w:p w14:paraId="61856BE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110 (95%)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689009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155 (88%)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0E876D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133 (86%)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12536E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141 (93%)</w:t>
            </w:r>
          </w:p>
        </w:tc>
      </w:tr>
      <w:tr w:rsidR="00535B97" w:rsidRPr="0035420C" w14:paraId="54B33033" w14:textId="77777777">
        <w:trPr>
          <w:cantSplit/>
          <w:jc w:val="center"/>
        </w:trPr>
        <w:tc>
          <w:tcPr>
            <w:tcW w:w="0" w:type="auto"/>
            <w:gridSpan w:val="12"/>
          </w:tcPr>
          <w:p w14:paraId="2B14B6BD"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1</w:t>
            </w:r>
            <w:r w:rsidRPr="0035420C">
              <w:rPr>
                <w:rFonts w:ascii="Calibri" w:hAnsi="Calibri"/>
                <w:sz w:val="16"/>
                <w:szCs w:val="16"/>
              </w:rPr>
              <w:t>n (%); Median (IQR)</w:t>
            </w:r>
          </w:p>
        </w:tc>
      </w:tr>
      <w:tr w:rsidR="00535B97" w:rsidRPr="0035420C" w14:paraId="178F5BC1" w14:textId="77777777">
        <w:trPr>
          <w:cantSplit/>
          <w:jc w:val="center"/>
        </w:trPr>
        <w:tc>
          <w:tcPr>
            <w:tcW w:w="0" w:type="auto"/>
            <w:gridSpan w:val="12"/>
          </w:tcPr>
          <w:p w14:paraId="794CEF90"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2</w:t>
            </w:r>
            <w:r w:rsidRPr="0035420C">
              <w:rPr>
                <w:rFonts w:ascii="Calibri" w:hAnsi="Calibri"/>
                <w:sz w:val="16"/>
                <w:szCs w:val="16"/>
              </w:rPr>
              <w:t>*Indicates strong evidence of a difference between villages (Bayesian hierarchical model).</w:t>
            </w:r>
          </w:p>
        </w:tc>
      </w:tr>
    </w:tbl>
    <w:p w14:paraId="71BFB914" w14:textId="77777777" w:rsidR="00535B97" w:rsidRDefault="00000000">
      <w:pPr>
        <w:pStyle w:val="Heading2"/>
      </w:pPr>
      <w:bookmarkStart w:id="14" w:name="lasv-seroprevalence-estimates"/>
      <w:bookmarkEnd w:id="13"/>
      <w:r>
        <w:t>LASV seroprevalence estimates</w:t>
      </w:r>
    </w:p>
    <w:p w14:paraId="632C166B" w14:textId="77777777" w:rsidR="00535B97" w:rsidRDefault="00000000">
      <w:r>
        <w:t xml:space="preserve">Of the 1,874 individuals tested, 61 were seropositive for LASV IgG, yielding a crude overall seroprevalence of 3.3%. These individuals belonged to 59 households, with only two households (both in </w:t>
      </w:r>
      <w:proofErr w:type="spellStart"/>
      <w:r>
        <w:t>Ikyogbakpev</w:t>
      </w:r>
      <w:proofErr w:type="spellEnd"/>
      <w:r>
        <w:t xml:space="preserve"> [BN]) containing more than one seropositive member. No seropositive individuals reported a prior diagnosis of Lassa fever.</w:t>
      </w:r>
    </w:p>
    <w:p w14:paraId="2D650547" w14:textId="77777777" w:rsidR="00535B97" w:rsidRDefault="00000000">
      <w:r>
        <w:lastRenderedPageBreak/>
        <w:t xml:space="preserve">Model-based estimates revealed marked heterogeneity in exposure risk across the study area (Table 3). The overall seroprevalence was 3.17% (95% </w:t>
      </w:r>
      <w:proofErr w:type="spellStart"/>
      <w:r>
        <w:t>CrI</w:t>
      </w:r>
      <w:proofErr w:type="spellEnd"/>
      <w:r>
        <w:t xml:space="preserve">: 2.47-4.04%). This varied at the state level (CR = 5.13% [3.66–6.97%]; BN = 2.63% [1.56–4.06%]; EB = 1.65% [0.86–2.85%]) and showed even greater variation at the village level (ranging from </w:t>
      </w:r>
      <w:proofErr w:type="spellStart"/>
      <w:r>
        <w:t>Ezeakataka</w:t>
      </w:r>
      <w:proofErr w:type="spellEnd"/>
      <w:r>
        <w:t xml:space="preserve"> [EB] = 0.79% [0.13-2.45%] to Okimbongha [CR] = 6.48% [3.9-9.97%]) (Table 3.).</w:t>
      </w:r>
    </w:p>
    <w:tbl>
      <w:tblPr>
        <w:tblW w:w="0" w:type="auto"/>
        <w:jc w:val="center"/>
        <w:tblCellMar>
          <w:left w:w="60" w:type="dxa"/>
          <w:right w:w="60" w:type="dxa"/>
        </w:tblCellMar>
        <w:tblLook w:val="0000" w:firstRow="0" w:lastRow="0" w:firstColumn="0" w:lastColumn="0" w:noHBand="0" w:noVBand="0"/>
      </w:tblPr>
      <w:tblGrid>
        <w:gridCol w:w="959"/>
        <w:gridCol w:w="364"/>
        <w:gridCol w:w="378"/>
        <w:gridCol w:w="540"/>
        <w:gridCol w:w="520"/>
        <w:gridCol w:w="527"/>
      </w:tblGrid>
      <w:tr w:rsidR="00535B97" w:rsidRPr="0035420C" w14:paraId="6D692FD6" w14:textId="77777777">
        <w:trPr>
          <w:cantSplit/>
          <w:tblHeader/>
          <w:jc w:val="center"/>
        </w:trPr>
        <w:tc>
          <w:tcPr>
            <w:tcW w:w="0" w:type="auto"/>
            <w:tcBorders>
              <w:top w:val="single" w:sz="16" w:space="0" w:color="D3D3D3"/>
              <w:left w:val="single" w:sz="0" w:space="0" w:color="D3D3D3"/>
            </w:tcBorders>
          </w:tcPr>
          <w:p w14:paraId="178838AE" w14:textId="77777777" w:rsidR="00535B97" w:rsidRPr="0035420C" w:rsidRDefault="00535B97" w:rsidP="0035420C">
            <w:pPr>
              <w:keepNext/>
              <w:spacing w:before="0" w:after="60" w:line="240" w:lineRule="auto"/>
              <w:rPr>
                <w:sz w:val="16"/>
                <w:szCs w:val="16"/>
              </w:rPr>
            </w:pPr>
          </w:p>
        </w:tc>
        <w:tc>
          <w:tcPr>
            <w:tcW w:w="0" w:type="auto"/>
            <w:tcBorders>
              <w:top w:val="single" w:sz="16" w:space="0" w:color="D3D3D3"/>
            </w:tcBorders>
          </w:tcPr>
          <w:p w14:paraId="5FF3346A" w14:textId="77777777" w:rsidR="00535B97" w:rsidRPr="0035420C" w:rsidRDefault="00535B97" w:rsidP="0035420C">
            <w:pPr>
              <w:keepNext/>
              <w:spacing w:before="0" w:after="60" w:line="240" w:lineRule="auto"/>
              <w:rPr>
                <w:sz w:val="16"/>
                <w:szCs w:val="16"/>
              </w:rPr>
            </w:pPr>
          </w:p>
        </w:tc>
        <w:tc>
          <w:tcPr>
            <w:tcW w:w="0" w:type="auto"/>
            <w:gridSpan w:val="2"/>
            <w:tcBorders>
              <w:top w:val="single" w:sz="16" w:space="0" w:color="D3D3D3"/>
              <w:bottom w:val="single" w:sz="16" w:space="0" w:color="D3D3D3"/>
            </w:tcBorders>
          </w:tcPr>
          <w:p w14:paraId="102EB21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Seropositive</w:t>
            </w:r>
          </w:p>
        </w:tc>
        <w:tc>
          <w:tcPr>
            <w:tcW w:w="0" w:type="auto"/>
            <w:gridSpan w:val="2"/>
            <w:tcBorders>
              <w:top w:val="single" w:sz="16" w:space="0" w:color="D3D3D3"/>
              <w:bottom w:val="single" w:sz="16" w:space="0" w:color="D3D3D3"/>
              <w:right w:val="single" w:sz="0" w:space="0" w:color="D3D3D3"/>
            </w:tcBorders>
          </w:tcPr>
          <w:p w14:paraId="6A73895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 xml:space="preserve">95% </w:t>
            </w:r>
            <w:proofErr w:type="spellStart"/>
            <w:r w:rsidRPr="0035420C">
              <w:rPr>
                <w:rFonts w:ascii="Calibri" w:hAnsi="Calibri"/>
                <w:sz w:val="16"/>
                <w:szCs w:val="16"/>
              </w:rPr>
              <w:t>CrI</w:t>
            </w:r>
            <w:proofErr w:type="spellEnd"/>
          </w:p>
        </w:tc>
      </w:tr>
      <w:tr w:rsidR="00535B97" w:rsidRPr="0035420C" w14:paraId="3D2DDF3B" w14:textId="77777777">
        <w:trPr>
          <w:cantSplit/>
          <w:tblHeader/>
          <w:jc w:val="center"/>
        </w:trPr>
        <w:tc>
          <w:tcPr>
            <w:tcW w:w="0" w:type="auto"/>
            <w:tcBorders>
              <w:left w:val="single" w:sz="0" w:space="0" w:color="D3D3D3"/>
              <w:bottom w:val="single" w:sz="16" w:space="0" w:color="D3D3D3"/>
            </w:tcBorders>
          </w:tcPr>
          <w:p w14:paraId="775D2564"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State/Village</w:t>
            </w:r>
          </w:p>
        </w:tc>
        <w:tc>
          <w:tcPr>
            <w:tcW w:w="0" w:type="auto"/>
            <w:tcBorders>
              <w:bottom w:val="single" w:sz="16" w:space="0" w:color="D3D3D3"/>
            </w:tcBorders>
          </w:tcPr>
          <w:p w14:paraId="4B7068E2"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N</w:t>
            </w:r>
          </w:p>
        </w:tc>
        <w:tc>
          <w:tcPr>
            <w:tcW w:w="0" w:type="auto"/>
            <w:tcBorders>
              <w:bottom w:val="single" w:sz="16" w:space="0" w:color="D3D3D3"/>
            </w:tcBorders>
          </w:tcPr>
          <w:p w14:paraId="3274942C"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n</w:t>
            </w:r>
          </w:p>
        </w:tc>
        <w:tc>
          <w:tcPr>
            <w:tcW w:w="0" w:type="auto"/>
            <w:tcBorders>
              <w:bottom w:val="single" w:sz="16" w:space="0" w:color="D3D3D3"/>
            </w:tcBorders>
          </w:tcPr>
          <w:p w14:paraId="3D652F4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w:t>
            </w:r>
          </w:p>
        </w:tc>
        <w:tc>
          <w:tcPr>
            <w:tcW w:w="0" w:type="auto"/>
            <w:tcBorders>
              <w:bottom w:val="single" w:sz="16" w:space="0" w:color="D3D3D3"/>
            </w:tcBorders>
          </w:tcPr>
          <w:p w14:paraId="6DD49C93"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Lower</w:t>
            </w:r>
          </w:p>
        </w:tc>
        <w:tc>
          <w:tcPr>
            <w:tcW w:w="0" w:type="auto"/>
            <w:tcBorders>
              <w:bottom w:val="single" w:sz="16" w:space="0" w:color="D3D3D3"/>
              <w:right w:val="single" w:sz="0" w:space="0" w:color="D3D3D3"/>
            </w:tcBorders>
          </w:tcPr>
          <w:p w14:paraId="10879A0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Upper</w:t>
            </w:r>
          </w:p>
        </w:tc>
      </w:tr>
      <w:tr w:rsidR="00535B97" w:rsidRPr="0035420C" w14:paraId="2B31C1C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D9B39A"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Benue</w:t>
            </w:r>
          </w:p>
        </w:tc>
        <w:tc>
          <w:tcPr>
            <w:tcW w:w="0" w:type="auto"/>
            <w:tcBorders>
              <w:top w:val="single" w:sz="0" w:space="0" w:color="D3D3D3"/>
              <w:left w:val="single" w:sz="0" w:space="0" w:color="D3D3D3"/>
              <w:bottom w:val="single" w:sz="0" w:space="0" w:color="D3D3D3"/>
              <w:right w:val="single" w:sz="0" w:space="0" w:color="D3D3D3"/>
            </w:tcBorders>
          </w:tcPr>
          <w:p w14:paraId="71CBD443"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616</w:t>
            </w:r>
          </w:p>
        </w:tc>
        <w:tc>
          <w:tcPr>
            <w:tcW w:w="0" w:type="auto"/>
            <w:tcBorders>
              <w:top w:val="single" w:sz="0" w:space="0" w:color="D3D3D3"/>
              <w:left w:val="single" w:sz="0" w:space="0" w:color="D3D3D3"/>
              <w:bottom w:val="single" w:sz="0" w:space="0" w:color="D3D3D3"/>
              <w:right w:val="single" w:sz="0" w:space="0" w:color="D3D3D3"/>
            </w:tcBorders>
          </w:tcPr>
          <w:p w14:paraId="339B0CD2"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16</w:t>
            </w:r>
          </w:p>
        </w:tc>
        <w:tc>
          <w:tcPr>
            <w:tcW w:w="0" w:type="auto"/>
            <w:tcBorders>
              <w:top w:val="single" w:sz="0" w:space="0" w:color="D3D3D3"/>
              <w:left w:val="single" w:sz="0" w:space="0" w:color="D3D3D3"/>
              <w:bottom w:val="single" w:sz="0" w:space="0" w:color="D3D3D3"/>
              <w:right w:val="single" w:sz="0" w:space="0" w:color="D3D3D3"/>
            </w:tcBorders>
          </w:tcPr>
          <w:p w14:paraId="5E479F24"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2.63</w:t>
            </w:r>
          </w:p>
        </w:tc>
        <w:tc>
          <w:tcPr>
            <w:tcW w:w="0" w:type="auto"/>
            <w:tcBorders>
              <w:top w:val="single" w:sz="0" w:space="0" w:color="D3D3D3"/>
              <w:left w:val="single" w:sz="0" w:space="0" w:color="D3D3D3"/>
              <w:bottom w:val="single" w:sz="0" w:space="0" w:color="D3D3D3"/>
              <w:right w:val="single" w:sz="0" w:space="0" w:color="D3D3D3"/>
            </w:tcBorders>
          </w:tcPr>
          <w:p w14:paraId="7CB11386"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1.56</w:t>
            </w:r>
          </w:p>
        </w:tc>
        <w:tc>
          <w:tcPr>
            <w:tcW w:w="0" w:type="auto"/>
            <w:tcBorders>
              <w:top w:val="single" w:sz="0" w:space="0" w:color="D3D3D3"/>
              <w:left w:val="single" w:sz="0" w:space="0" w:color="D3D3D3"/>
              <w:bottom w:val="single" w:sz="0" w:space="0" w:color="D3D3D3"/>
              <w:right w:val="single" w:sz="0" w:space="0" w:color="D3D3D3"/>
            </w:tcBorders>
          </w:tcPr>
          <w:p w14:paraId="3046E7A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4.06</w:t>
            </w:r>
          </w:p>
        </w:tc>
      </w:tr>
      <w:tr w:rsidR="00535B97" w:rsidRPr="0035420C" w14:paraId="37DD2D2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E35CB6"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Dyegh</w:t>
            </w:r>
          </w:p>
        </w:tc>
        <w:tc>
          <w:tcPr>
            <w:tcW w:w="0" w:type="auto"/>
            <w:tcBorders>
              <w:top w:val="single" w:sz="0" w:space="0" w:color="D3D3D3"/>
              <w:left w:val="single" w:sz="0" w:space="0" w:color="D3D3D3"/>
              <w:bottom w:val="single" w:sz="0" w:space="0" w:color="D3D3D3"/>
              <w:right w:val="single" w:sz="0" w:space="0" w:color="D3D3D3"/>
            </w:tcBorders>
          </w:tcPr>
          <w:p w14:paraId="63688A28"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216</w:t>
            </w:r>
          </w:p>
        </w:tc>
        <w:tc>
          <w:tcPr>
            <w:tcW w:w="0" w:type="auto"/>
            <w:tcBorders>
              <w:top w:val="single" w:sz="0" w:space="0" w:color="D3D3D3"/>
              <w:left w:val="single" w:sz="0" w:space="0" w:color="D3D3D3"/>
              <w:bottom w:val="single" w:sz="0" w:space="0" w:color="D3D3D3"/>
              <w:right w:val="single" w:sz="0" w:space="0" w:color="D3D3D3"/>
            </w:tcBorders>
          </w:tcPr>
          <w:p w14:paraId="3C890AC8"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w:t>
            </w:r>
          </w:p>
        </w:tc>
        <w:tc>
          <w:tcPr>
            <w:tcW w:w="0" w:type="auto"/>
            <w:tcBorders>
              <w:top w:val="single" w:sz="0" w:space="0" w:color="D3D3D3"/>
              <w:left w:val="single" w:sz="0" w:space="0" w:color="D3D3D3"/>
              <w:bottom w:val="single" w:sz="0" w:space="0" w:color="D3D3D3"/>
              <w:right w:val="single" w:sz="0" w:space="0" w:color="D3D3D3"/>
            </w:tcBorders>
          </w:tcPr>
          <w:p w14:paraId="706F63DC"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2.74</w:t>
            </w:r>
          </w:p>
        </w:tc>
        <w:tc>
          <w:tcPr>
            <w:tcW w:w="0" w:type="auto"/>
            <w:tcBorders>
              <w:top w:val="single" w:sz="0" w:space="0" w:color="D3D3D3"/>
              <w:left w:val="single" w:sz="0" w:space="0" w:color="D3D3D3"/>
              <w:bottom w:val="single" w:sz="0" w:space="0" w:color="D3D3D3"/>
              <w:right w:val="single" w:sz="0" w:space="0" w:color="D3D3D3"/>
            </w:tcBorders>
          </w:tcPr>
          <w:p w14:paraId="7C56DA84"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1.08</w:t>
            </w:r>
          </w:p>
        </w:tc>
        <w:tc>
          <w:tcPr>
            <w:tcW w:w="0" w:type="auto"/>
            <w:tcBorders>
              <w:top w:val="single" w:sz="0" w:space="0" w:color="D3D3D3"/>
              <w:left w:val="single" w:sz="0" w:space="0" w:color="D3D3D3"/>
              <w:bottom w:val="single" w:sz="0" w:space="0" w:color="D3D3D3"/>
              <w:right w:val="single" w:sz="0" w:space="0" w:color="D3D3D3"/>
            </w:tcBorders>
          </w:tcPr>
          <w:p w14:paraId="2B09F3DD"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5.47</w:t>
            </w:r>
          </w:p>
        </w:tc>
      </w:tr>
      <w:tr w:rsidR="00535B97" w:rsidRPr="0035420C" w14:paraId="06E4DD3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199F56" w14:textId="77777777" w:rsidR="00535B97" w:rsidRPr="0035420C" w:rsidRDefault="00000000" w:rsidP="0035420C">
            <w:pPr>
              <w:keepNext/>
              <w:spacing w:before="0" w:after="60" w:line="240" w:lineRule="auto"/>
              <w:rPr>
                <w:sz w:val="16"/>
                <w:szCs w:val="16"/>
              </w:rPr>
            </w:pPr>
            <w:proofErr w:type="spellStart"/>
            <w:r w:rsidRPr="0035420C">
              <w:rPr>
                <w:rFonts w:ascii="Calibri" w:hAnsi="Calibri"/>
                <w:sz w:val="16"/>
                <w:szCs w:val="16"/>
              </w:rPr>
              <w:t>Ikyogbakpev</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6102773D"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214</w:t>
            </w:r>
          </w:p>
        </w:tc>
        <w:tc>
          <w:tcPr>
            <w:tcW w:w="0" w:type="auto"/>
            <w:tcBorders>
              <w:top w:val="single" w:sz="0" w:space="0" w:color="D3D3D3"/>
              <w:left w:val="single" w:sz="0" w:space="0" w:color="D3D3D3"/>
              <w:bottom w:val="single" w:sz="0" w:space="0" w:color="D3D3D3"/>
              <w:right w:val="single" w:sz="0" w:space="0" w:color="D3D3D3"/>
            </w:tcBorders>
          </w:tcPr>
          <w:p w14:paraId="36A54690"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8</w:t>
            </w:r>
          </w:p>
        </w:tc>
        <w:tc>
          <w:tcPr>
            <w:tcW w:w="0" w:type="auto"/>
            <w:tcBorders>
              <w:top w:val="single" w:sz="0" w:space="0" w:color="D3D3D3"/>
              <w:left w:val="single" w:sz="0" w:space="0" w:color="D3D3D3"/>
              <w:bottom w:val="single" w:sz="0" w:space="0" w:color="D3D3D3"/>
              <w:right w:val="single" w:sz="0" w:space="0" w:color="D3D3D3"/>
            </w:tcBorders>
          </w:tcPr>
          <w:p w14:paraId="7D90CF43"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3.72</w:t>
            </w:r>
          </w:p>
        </w:tc>
        <w:tc>
          <w:tcPr>
            <w:tcW w:w="0" w:type="auto"/>
            <w:tcBorders>
              <w:top w:val="single" w:sz="0" w:space="0" w:color="D3D3D3"/>
              <w:left w:val="single" w:sz="0" w:space="0" w:color="D3D3D3"/>
              <w:bottom w:val="single" w:sz="0" w:space="0" w:color="D3D3D3"/>
              <w:right w:val="single" w:sz="0" w:space="0" w:color="D3D3D3"/>
            </w:tcBorders>
          </w:tcPr>
          <w:p w14:paraId="376C2C16"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1.70</w:t>
            </w:r>
          </w:p>
        </w:tc>
        <w:tc>
          <w:tcPr>
            <w:tcW w:w="0" w:type="auto"/>
            <w:tcBorders>
              <w:top w:val="single" w:sz="0" w:space="0" w:color="D3D3D3"/>
              <w:left w:val="single" w:sz="0" w:space="0" w:color="D3D3D3"/>
              <w:bottom w:val="single" w:sz="0" w:space="0" w:color="D3D3D3"/>
              <w:right w:val="single" w:sz="0" w:space="0" w:color="D3D3D3"/>
            </w:tcBorders>
          </w:tcPr>
          <w:p w14:paraId="4BE40D73"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6.82</w:t>
            </w:r>
          </w:p>
        </w:tc>
      </w:tr>
      <w:tr w:rsidR="00535B97" w:rsidRPr="0035420C" w14:paraId="2CF56E4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07DBDB"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Zugu</w:t>
            </w:r>
          </w:p>
        </w:tc>
        <w:tc>
          <w:tcPr>
            <w:tcW w:w="0" w:type="auto"/>
            <w:tcBorders>
              <w:top w:val="single" w:sz="0" w:space="0" w:color="D3D3D3"/>
              <w:left w:val="single" w:sz="0" w:space="0" w:color="D3D3D3"/>
              <w:bottom w:val="single" w:sz="0" w:space="0" w:color="D3D3D3"/>
              <w:right w:val="single" w:sz="0" w:space="0" w:color="D3D3D3"/>
            </w:tcBorders>
          </w:tcPr>
          <w:p w14:paraId="698A159B"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186</w:t>
            </w:r>
          </w:p>
        </w:tc>
        <w:tc>
          <w:tcPr>
            <w:tcW w:w="0" w:type="auto"/>
            <w:tcBorders>
              <w:top w:val="single" w:sz="0" w:space="0" w:color="D3D3D3"/>
              <w:left w:val="single" w:sz="0" w:space="0" w:color="D3D3D3"/>
              <w:bottom w:val="single" w:sz="0" w:space="0" w:color="D3D3D3"/>
              <w:right w:val="single" w:sz="0" w:space="0" w:color="D3D3D3"/>
            </w:tcBorders>
          </w:tcPr>
          <w:p w14:paraId="716BCC3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w:t>
            </w:r>
          </w:p>
        </w:tc>
        <w:tc>
          <w:tcPr>
            <w:tcW w:w="0" w:type="auto"/>
            <w:tcBorders>
              <w:top w:val="single" w:sz="0" w:space="0" w:color="D3D3D3"/>
              <w:left w:val="single" w:sz="0" w:space="0" w:color="D3D3D3"/>
              <w:bottom w:val="single" w:sz="0" w:space="0" w:color="D3D3D3"/>
              <w:right w:val="single" w:sz="0" w:space="0" w:color="D3D3D3"/>
            </w:tcBorders>
          </w:tcPr>
          <w:p w14:paraId="4F869CA5"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1.03</w:t>
            </w:r>
          </w:p>
        </w:tc>
        <w:tc>
          <w:tcPr>
            <w:tcW w:w="0" w:type="auto"/>
            <w:tcBorders>
              <w:top w:val="single" w:sz="0" w:space="0" w:color="D3D3D3"/>
              <w:left w:val="single" w:sz="0" w:space="0" w:color="D3D3D3"/>
              <w:bottom w:val="single" w:sz="0" w:space="0" w:color="D3D3D3"/>
              <w:right w:val="single" w:sz="0" w:space="0" w:color="D3D3D3"/>
            </w:tcBorders>
          </w:tcPr>
          <w:p w14:paraId="7A343C2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0.17</w:t>
            </w:r>
          </w:p>
        </w:tc>
        <w:tc>
          <w:tcPr>
            <w:tcW w:w="0" w:type="auto"/>
            <w:tcBorders>
              <w:top w:val="single" w:sz="0" w:space="0" w:color="D3D3D3"/>
              <w:left w:val="single" w:sz="0" w:space="0" w:color="D3D3D3"/>
              <w:bottom w:val="single" w:sz="0" w:space="0" w:color="D3D3D3"/>
              <w:right w:val="single" w:sz="0" w:space="0" w:color="D3D3D3"/>
            </w:tcBorders>
          </w:tcPr>
          <w:p w14:paraId="40F5B38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3.28</w:t>
            </w:r>
          </w:p>
        </w:tc>
      </w:tr>
      <w:tr w:rsidR="00535B97" w:rsidRPr="0035420C" w14:paraId="4647A64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957083"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Cross River</w:t>
            </w:r>
          </w:p>
        </w:tc>
        <w:tc>
          <w:tcPr>
            <w:tcW w:w="0" w:type="auto"/>
            <w:tcBorders>
              <w:top w:val="single" w:sz="0" w:space="0" w:color="D3D3D3"/>
              <w:left w:val="single" w:sz="0" w:space="0" w:color="D3D3D3"/>
              <w:bottom w:val="single" w:sz="0" w:space="0" w:color="D3D3D3"/>
              <w:right w:val="single" w:sz="0" w:space="0" w:color="D3D3D3"/>
            </w:tcBorders>
          </w:tcPr>
          <w:p w14:paraId="260A4B0D"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597</w:t>
            </w:r>
          </w:p>
        </w:tc>
        <w:tc>
          <w:tcPr>
            <w:tcW w:w="0" w:type="auto"/>
            <w:tcBorders>
              <w:top w:val="single" w:sz="0" w:space="0" w:color="D3D3D3"/>
              <w:left w:val="single" w:sz="0" w:space="0" w:color="D3D3D3"/>
              <w:bottom w:val="single" w:sz="0" w:space="0" w:color="D3D3D3"/>
              <w:right w:val="single" w:sz="0" w:space="0" w:color="D3D3D3"/>
            </w:tcBorders>
          </w:tcPr>
          <w:p w14:paraId="73EDF60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34</w:t>
            </w:r>
          </w:p>
        </w:tc>
        <w:tc>
          <w:tcPr>
            <w:tcW w:w="0" w:type="auto"/>
            <w:tcBorders>
              <w:top w:val="single" w:sz="0" w:space="0" w:color="D3D3D3"/>
              <w:left w:val="single" w:sz="0" w:space="0" w:color="D3D3D3"/>
              <w:bottom w:val="single" w:sz="0" w:space="0" w:color="D3D3D3"/>
              <w:right w:val="single" w:sz="0" w:space="0" w:color="D3D3D3"/>
            </w:tcBorders>
          </w:tcPr>
          <w:p w14:paraId="0B056A1B"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5.13</w:t>
            </w:r>
          </w:p>
        </w:tc>
        <w:tc>
          <w:tcPr>
            <w:tcW w:w="0" w:type="auto"/>
            <w:tcBorders>
              <w:top w:val="single" w:sz="0" w:space="0" w:color="D3D3D3"/>
              <w:left w:val="single" w:sz="0" w:space="0" w:color="D3D3D3"/>
              <w:bottom w:val="single" w:sz="0" w:space="0" w:color="D3D3D3"/>
              <w:right w:val="single" w:sz="0" w:space="0" w:color="D3D3D3"/>
            </w:tcBorders>
          </w:tcPr>
          <w:p w14:paraId="69C43A64"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3.66</w:t>
            </w:r>
          </w:p>
        </w:tc>
        <w:tc>
          <w:tcPr>
            <w:tcW w:w="0" w:type="auto"/>
            <w:tcBorders>
              <w:top w:val="single" w:sz="0" w:space="0" w:color="D3D3D3"/>
              <w:left w:val="single" w:sz="0" w:space="0" w:color="D3D3D3"/>
              <w:bottom w:val="single" w:sz="0" w:space="0" w:color="D3D3D3"/>
              <w:right w:val="single" w:sz="0" w:space="0" w:color="D3D3D3"/>
            </w:tcBorders>
          </w:tcPr>
          <w:p w14:paraId="2800EB1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6.97</w:t>
            </w:r>
          </w:p>
        </w:tc>
      </w:tr>
      <w:tr w:rsidR="00535B97" w:rsidRPr="0035420C" w14:paraId="7C9B11A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C1B75F" w14:textId="77777777" w:rsidR="00535B97" w:rsidRPr="0035420C" w:rsidRDefault="00000000" w:rsidP="0035420C">
            <w:pPr>
              <w:keepNext/>
              <w:spacing w:before="0" w:after="60" w:line="240" w:lineRule="auto"/>
              <w:rPr>
                <w:sz w:val="16"/>
                <w:szCs w:val="16"/>
              </w:rPr>
            </w:pPr>
            <w:proofErr w:type="spellStart"/>
            <w:r w:rsidRPr="0035420C">
              <w:rPr>
                <w:rFonts w:ascii="Calibri" w:hAnsi="Calibri"/>
                <w:sz w:val="16"/>
                <w:szCs w:val="16"/>
              </w:rPr>
              <w:t>Ofonekom</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33A4945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140</w:t>
            </w:r>
          </w:p>
        </w:tc>
        <w:tc>
          <w:tcPr>
            <w:tcW w:w="0" w:type="auto"/>
            <w:tcBorders>
              <w:top w:val="single" w:sz="0" w:space="0" w:color="D3D3D3"/>
              <w:left w:val="single" w:sz="0" w:space="0" w:color="D3D3D3"/>
              <w:bottom w:val="single" w:sz="0" w:space="0" w:color="D3D3D3"/>
              <w:right w:val="single" w:sz="0" w:space="0" w:color="D3D3D3"/>
            </w:tcBorders>
          </w:tcPr>
          <w:p w14:paraId="4BDBF632"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w:t>
            </w:r>
          </w:p>
        </w:tc>
        <w:tc>
          <w:tcPr>
            <w:tcW w:w="0" w:type="auto"/>
            <w:tcBorders>
              <w:top w:val="single" w:sz="0" w:space="0" w:color="D3D3D3"/>
              <w:left w:val="single" w:sz="0" w:space="0" w:color="D3D3D3"/>
              <w:bottom w:val="single" w:sz="0" w:space="0" w:color="D3D3D3"/>
              <w:right w:val="single" w:sz="0" w:space="0" w:color="D3D3D3"/>
            </w:tcBorders>
          </w:tcPr>
          <w:p w14:paraId="5080AA2A"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2.67</w:t>
            </w:r>
          </w:p>
        </w:tc>
        <w:tc>
          <w:tcPr>
            <w:tcW w:w="0" w:type="auto"/>
            <w:tcBorders>
              <w:top w:val="single" w:sz="0" w:space="0" w:color="D3D3D3"/>
              <w:left w:val="single" w:sz="0" w:space="0" w:color="D3D3D3"/>
              <w:bottom w:val="single" w:sz="0" w:space="0" w:color="D3D3D3"/>
              <w:right w:val="single" w:sz="0" w:space="0" w:color="D3D3D3"/>
            </w:tcBorders>
          </w:tcPr>
          <w:p w14:paraId="730CEA7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0.96</w:t>
            </w:r>
          </w:p>
        </w:tc>
        <w:tc>
          <w:tcPr>
            <w:tcW w:w="0" w:type="auto"/>
            <w:tcBorders>
              <w:top w:val="single" w:sz="0" w:space="0" w:color="D3D3D3"/>
              <w:left w:val="single" w:sz="0" w:space="0" w:color="D3D3D3"/>
              <w:bottom w:val="single" w:sz="0" w:space="0" w:color="D3D3D3"/>
              <w:right w:val="single" w:sz="0" w:space="0" w:color="D3D3D3"/>
            </w:tcBorders>
          </w:tcPr>
          <w:p w14:paraId="518BD5E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5.73</w:t>
            </w:r>
          </w:p>
        </w:tc>
      </w:tr>
      <w:tr w:rsidR="00535B97" w:rsidRPr="0035420C" w14:paraId="0366A05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014015"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Ogamanna</w:t>
            </w:r>
          </w:p>
        </w:tc>
        <w:tc>
          <w:tcPr>
            <w:tcW w:w="0" w:type="auto"/>
            <w:tcBorders>
              <w:top w:val="single" w:sz="0" w:space="0" w:color="D3D3D3"/>
              <w:left w:val="single" w:sz="0" w:space="0" w:color="D3D3D3"/>
              <w:bottom w:val="single" w:sz="0" w:space="0" w:color="D3D3D3"/>
              <w:right w:val="single" w:sz="0" w:space="0" w:color="D3D3D3"/>
            </w:tcBorders>
          </w:tcPr>
          <w:p w14:paraId="1F044EC1"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234</w:t>
            </w:r>
          </w:p>
        </w:tc>
        <w:tc>
          <w:tcPr>
            <w:tcW w:w="0" w:type="auto"/>
            <w:tcBorders>
              <w:top w:val="single" w:sz="0" w:space="0" w:color="D3D3D3"/>
              <w:left w:val="single" w:sz="0" w:space="0" w:color="D3D3D3"/>
              <w:bottom w:val="single" w:sz="0" w:space="0" w:color="D3D3D3"/>
              <w:right w:val="single" w:sz="0" w:space="0" w:color="D3D3D3"/>
            </w:tcBorders>
          </w:tcPr>
          <w:p w14:paraId="034E15E3"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13</w:t>
            </w:r>
          </w:p>
        </w:tc>
        <w:tc>
          <w:tcPr>
            <w:tcW w:w="0" w:type="auto"/>
            <w:tcBorders>
              <w:top w:val="single" w:sz="0" w:space="0" w:color="D3D3D3"/>
              <w:left w:val="single" w:sz="0" w:space="0" w:color="D3D3D3"/>
              <w:bottom w:val="single" w:sz="0" w:space="0" w:color="D3D3D3"/>
              <w:right w:val="single" w:sz="0" w:space="0" w:color="D3D3D3"/>
            </w:tcBorders>
          </w:tcPr>
          <w:p w14:paraId="65AA5BC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5.53</w:t>
            </w:r>
          </w:p>
        </w:tc>
        <w:tc>
          <w:tcPr>
            <w:tcW w:w="0" w:type="auto"/>
            <w:tcBorders>
              <w:top w:val="single" w:sz="0" w:space="0" w:color="D3D3D3"/>
              <w:left w:val="single" w:sz="0" w:space="0" w:color="D3D3D3"/>
              <w:bottom w:val="single" w:sz="0" w:space="0" w:color="D3D3D3"/>
              <w:right w:val="single" w:sz="0" w:space="0" w:color="D3D3D3"/>
            </w:tcBorders>
          </w:tcPr>
          <w:p w14:paraId="5390224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3.06</w:t>
            </w:r>
          </w:p>
        </w:tc>
        <w:tc>
          <w:tcPr>
            <w:tcW w:w="0" w:type="auto"/>
            <w:tcBorders>
              <w:top w:val="single" w:sz="0" w:space="0" w:color="D3D3D3"/>
              <w:left w:val="single" w:sz="0" w:space="0" w:color="D3D3D3"/>
              <w:bottom w:val="single" w:sz="0" w:space="0" w:color="D3D3D3"/>
              <w:right w:val="single" w:sz="0" w:space="0" w:color="D3D3D3"/>
            </w:tcBorders>
          </w:tcPr>
          <w:p w14:paraId="5B811DF1"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8.94</w:t>
            </w:r>
          </w:p>
        </w:tc>
      </w:tr>
      <w:tr w:rsidR="00535B97" w:rsidRPr="0035420C" w14:paraId="55EC5D4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20D6E9"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Okimbongha</w:t>
            </w:r>
          </w:p>
        </w:tc>
        <w:tc>
          <w:tcPr>
            <w:tcW w:w="0" w:type="auto"/>
            <w:tcBorders>
              <w:top w:val="single" w:sz="0" w:space="0" w:color="D3D3D3"/>
              <w:left w:val="single" w:sz="0" w:space="0" w:color="D3D3D3"/>
              <w:bottom w:val="single" w:sz="0" w:space="0" w:color="D3D3D3"/>
              <w:right w:val="single" w:sz="0" w:space="0" w:color="D3D3D3"/>
            </w:tcBorders>
          </w:tcPr>
          <w:p w14:paraId="6DE164C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223</w:t>
            </w:r>
          </w:p>
        </w:tc>
        <w:tc>
          <w:tcPr>
            <w:tcW w:w="0" w:type="auto"/>
            <w:tcBorders>
              <w:top w:val="single" w:sz="0" w:space="0" w:color="D3D3D3"/>
              <w:left w:val="single" w:sz="0" w:space="0" w:color="D3D3D3"/>
              <w:bottom w:val="single" w:sz="0" w:space="0" w:color="D3D3D3"/>
              <w:right w:val="single" w:sz="0" w:space="0" w:color="D3D3D3"/>
            </w:tcBorders>
          </w:tcPr>
          <w:p w14:paraId="7AE553E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16</w:t>
            </w:r>
          </w:p>
        </w:tc>
        <w:tc>
          <w:tcPr>
            <w:tcW w:w="0" w:type="auto"/>
            <w:tcBorders>
              <w:top w:val="single" w:sz="0" w:space="0" w:color="D3D3D3"/>
              <w:left w:val="single" w:sz="0" w:space="0" w:color="D3D3D3"/>
              <w:bottom w:val="single" w:sz="0" w:space="0" w:color="D3D3D3"/>
              <w:right w:val="single" w:sz="0" w:space="0" w:color="D3D3D3"/>
            </w:tcBorders>
          </w:tcPr>
          <w:p w14:paraId="4AD1BFA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6.48</w:t>
            </w:r>
          </w:p>
        </w:tc>
        <w:tc>
          <w:tcPr>
            <w:tcW w:w="0" w:type="auto"/>
            <w:tcBorders>
              <w:top w:val="single" w:sz="0" w:space="0" w:color="D3D3D3"/>
              <w:left w:val="single" w:sz="0" w:space="0" w:color="D3D3D3"/>
              <w:bottom w:val="single" w:sz="0" w:space="0" w:color="D3D3D3"/>
              <w:right w:val="single" w:sz="0" w:space="0" w:color="D3D3D3"/>
            </w:tcBorders>
          </w:tcPr>
          <w:p w14:paraId="6BB3578A"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3.90</w:t>
            </w:r>
          </w:p>
        </w:tc>
        <w:tc>
          <w:tcPr>
            <w:tcW w:w="0" w:type="auto"/>
            <w:tcBorders>
              <w:top w:val="single" w:sz="0" w:space="0" w:color="D3D3D3"/>
              <w:left w:val="single" w:sz="0" w:space="0" w:color="D3D3D3"/>
              <w:bottom w:val="single" w:sz="0" w:space="0" w:color="D3D3D3"/>
              <w:right w:val="single" w:sz="0" w:space="0" w:color="D3D3D3"/>
            </w:tcBorders>
          </w:tcPr>
          <w:p w14:paraId="5A324776"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9.97</w:t>
            </w:r>
          </w:p>
        </w:tc>
      </w:tr>
      <w:tr w:rsidR="00535B97" w:rsidRPr="0035420C" w14:paraId="33841C2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C407DF"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Ebonyi</w:t>
            </w:r>
          </w:p>
        </w:tc>
        <w:tc>
          <w:tcPr>
            <w:tcW w:w="0" w:type="auto"/>
            <w:tcBorders>
              <w:top w:val="single" w:sz="0" w:space="0" w:color="D3D3D3"/>
              <w:left w:val="single" w:sz="0" w:space="0" w:color="D3D3D3"/>
              <w:bottom w:val="single" w:sz="0" w:space="0" w:color="D3D3D3"/>
              <w:right w:val="single" w:sz="0" w:space="0" w:color="D3D3D3"/>
            </w:tcBorders>
          </w:tcPr>
          <w:p w14:paraId="666ED8FD"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661</w:t>
            </w:r>
          </w:p>
        </w:tc>
        <w:tc>
          <w:tcPr>
            <w:tcW w:w="0" w:type="auto"/>
            <w:tcBorders>
              <w:top w:val="single" w:sz="0" w:space="0" w:color="D3D3D3"/>
              <w:left w:val="single" w:sz="0" w:space="0" w:color="D3D3D3"/>
              <w:bottom w:val="single" w:sz="0" w:space="0" w:color="D3D3D3"/>
              <w:right w:val="single" w:sz="0" w:space="0" w:color="D3D3D3"/>
            </w:tcBorders>
          </w:tcPr>
          <w:p w14:paraId="4587601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11</w:t>
            </w:r>
          </w:p>
        </w:tc>
        <w:tc>
          <w:tcPr>
            <w:tcW w:w="0" w:type="auto"/>
            <w:tcBorders>
              <w:top w:val="single" w:sz="0" w:space="0" w:color="D3D3D3"/>
              <w:left w:val="single" w:sz="0" w:space="0" w:color="D3D3D3"/>
              <w:bottom w:val="single" w:sz="0" w:space="0" w:color="D3D3D3"/>
              <w:right w:val="single" w:sz="0" w:space="0" w:color="D3D3D3"/>
            </w:tcBorders>
          </w:tcPr>
          <w:p w14:paraId="757E27B2"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1.65</w:t>
            </w:r>
          </w:p>
        </w:tc>
        <w:tc>
          <w:tcPr>
            <w:tcW w:w="0" w:type="auto"/>
            <w:tcBorders>
              <w:top w:val="single" w:sz="0" w:space="0" w:color="D3D3D3"/>
              <w:left w:val="single" w:sz="0" w:space="0" w:color="D3D3D3"/>
              <w:bottom w:val="single" w:sz="0" w:space="0" w:color="D3D3D3"/>
              <w:right w:val="single" w:sz="0" w:space="0" w:color="D3D3D3"/>
            </w:tcBorders>
          </w:tcPr>
          <w:p w14:paraId="03C5D39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0.86</w:t>
            </w:r>
          </w:p>
        </w:tc>
        <w:tc>
          <w:tcPr>
            <w:tcW w:w="0" w:type="auto"/>
            <w:tcBorders>
              <w:top w:val="single" w:sz="0" w:space="0" w:color="D3D3D3"/>
              <w:left w:val="single" w:sz="0" w:space="0" w:color="D3D3D3"/>
              <w:bottom w:val="single" w:sz="0" w:space="0" w:color="D3D3D3"/>
              <w:right w:val="single" w:sz="0" w:space="0" w:color="D3D3D3"/>
            </w:tcBorders>
          </w:tcPr>
          <w:p w14:paraId="575358D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2.85</w:t>
            </w:r>
          </w:p>
        </w:tc>
      </w:tr>
      <w:tr w:rsidR="00535B97" w:rsidRPr="0035420C" w14:paraId="4DB7DC1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38DB28" w14:textId="77777777" w:rsidR="00535B97" w:rsidRPr="0035420C" w:rsidRDefault="00000000" w:rsidP="0035420C">
            <w:pPr>
              <w:keepNext/>
              <w:spacing w:before="0" w:after="60" w:line="240" w:lineRule="auto"/>
              <w:rPr>
                <w:sz w:val="16"/>
                <w:szCs w:val="16"/>
              </w:rPr>
            </w:pPr>
            <w:proofErr w:type="spellStart"/>
            <w:r w:rsidRPr="0035420C">
              <w:rPr>
                <w:rFonts w:ascii="Calibri" w:hAnsi="Calibri"/>
                <w:sz w:val="16"/>
                <w:szCs w:val="16"/>
              </w:rPr>
              <w:t>Enyandulogu</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163C8951"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215</w:t>
            </w:r>
          </w:p>
        </w:tc>
        <w:tc>
          <w:tcPr>
            <w:tcW w:w="0" w:type="auto"/>
            <w:tcBorders>
              <w:top w:val="single" w:sz="0" w:space="0" w:color="D3D3D3"/>
              <w:left w:val="single" w:sz="0" w:space="0" w:color="D3D3D3"/>
              <w:bottom w:val="single" w:sz="0" w:space="0" w:color="D3D3D3"/>
              <w:right w:val="single" w:sz="0" w:space="0" w:color="D3D3D3"/>
            </w:tcBorders>
          </w:tcPr>
          <w:p w14:paraId="2B6C9E9A"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4</w:t>
            </w:r>
          </w:p>
        </w:tc>
        <w:tc>
          <w:tcPr>
            <w:tcW w:w="0" w:type="auto"/>
            <w:tcBorders>
              <w:top w:val="single" w:sz="0" w:space="0" w:color="D3D3D3"/>
              <w:left w:val="single" w:sz="0" w:space="0" w:color="D3D3D3"/>
              <w:bottom w:val="single" w:sz="0" w:space="0" w:color="D3D3D3"/>
              <w:right w:val="single" w:sz="0" w:space="0" w:color="D3D3D3"/>
            </w:tcBorders>
          </w:tcPr>
          <w:p w14:paraId="010D39F0"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1.81</w:t>
            </w:r>
          </w:p>
        </w:tc>
        <w:tc>
          <w:tcPr>
            <w:tcW w:w="0" w:type="auto"/>
            <w:tcBorders>
              <w:top w:val="single" w:sz="0" w:space="0" w:color="D3D3D3"/>
              <w:left w:val="single" w:sz="0" w:space="0" w:color="D3D3D3"/>
              <w:bottom w:val="single" w:sz="0" w:space="0" w:color="D3D3D3"/>
              <w:right w:val="single" w:sz="0" w:space="0" w:color="D3D3D3"/>
            </w:tcBorders>
          </w:tcPr>
          <w:p w14:paraId="7374644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0.55</w:t>
            </w:r>
          </w:p>
        </w:tc>
        <w:tc>
          <w:tcPr>
            <w:tcW w:w="0" w:type="auto"/>
            <w:tcBorders>
              <w:top w:val="single" w:sz="0" w:space="0" w:color="D3D3D3"/>
              <w:left w:val="single" w:sz="0" w:space="0" w:color="D3D3D3"/>
              <w:bottom w:val="single" w:sz="0" w:space="0" w:color="D3D3D3"/>
              <w:right w:val="single" w:sz="0" w:space="0" w:color="D3D3D3"/>
            </w:tcBorders>
          </w:tcPr>
          <w:p w14:paraId="5339066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4.23</w:t>
            </w:r>
          </w:p>
        </w:tc>
      </w:tr>
      <w:tr w:rsidR="00535B97" w:rsidRPr="0035420C" w14:paraId="3335865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840294" w14:textId="77777777" w:rsidR="00535B97" w:rsidRPr="0035420C" w:rsidRDefault="00000000" w:rsidP="0035420C">
            <w:pPr>
              <w:keepNext/>
              <w:spacing w:before="0" w:after="60" w:line="240" w:lineRule="auto"/>
              <w:rPr>
                <w:sz w:val="16"/>
                <w:szCs w:val="16"/>
              </w:rPr>
            </w:pPr>
            <w:proofErr w:type="spellStart"/>
            <w:r w:rsidRPr="0035420C">
              <w:rPr>
                <w:rFonts w:ascii="Calibri" w:hAnsi="Calibri"/>
                <w:sz w:val="16"/>
                <w:szCs w:val="16"/>
              </w:rPr>
              <w:t>Ezeakataka</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6063AA86"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239</w:t>
            </w:r>
          </w:p>
        </w:tc>
        <w:tc>
          <w:tcPr>
            <w:tcW w:w="0" w:type="auto"/>
            <w:tcBorders>
              <w:top w:val="single" w:sz="0" w:space="0" w:color="D3D3D3"/>
              <w:left w:val="single" w:sz="0" w:space="0" w:color="D3D3D3"/>
              <w:bottom w:val="single" w:sz="0" w:space="0" w:color="D3D3D3"/>
              <w:right w:val="single" w:sz="0" w:space="0" w:color="D3D3D3"/>
            </w:tcBorders>
          </w:tcPr>
          <w:p w14:paraId="6A91D0C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w:t>
            </w:r>
          </w:p>
        </w:tc>
        <w:tc>
          <w:tcPr>
            <w:tcW w:w="0" w:type="auto"/>
            <w:tcBorders>
              <w:top w:val="single" w:sz="0" w:space="0" w:color="D3D3D3"/>
              <w:left w:val="single" w:sz="0" w:space="0" w:color="D3D3D3"/>
              <w:bottom w:val="single" w:sz="0" w:space="0" w:color="D3D3D3"/>
              <w:right w:val="single" w:sz="0" w:space="0" w:color="D3D3D3"/>
            </w:tcBorders>
          </w:tcPr>
          <w:p w14:paraId="7704983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0.79</w:t>
            </w:r>
          </w:p>
        </w:tc>
        <w:tc>
          <w:tcPr>
            <w:tcW w:w="0" w:type="auto"/>
            <w:tcBorders>
              <w:top w:val="single" w:sz="0" w:space="0" w:color="D3D3D3"/>
              <w:left w:val="single" w:sz="0" w:space="0" w:color="D3D3D3"/>
              <w:bottom w:val="single" w:sz="0" w:space="0" w:color="D3D3D3"/>
              <w:right w:val="single" w:sz="0" w:space="0" w:color="D3D3D3"/>
            </w:tcBorders>
          </w:tcPr>
          <w:p w14:paraId="06519D2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0.13</w:t>
            </w:r>
          </w:p>
        </w:tc>
        <w:tc>
          <w:tcPr>
            <w:tcW w:w="0" w:type="auto"/>
            <w:tcBorders>
              <w:top w:val="single" w:sz="0" w:space="0" w:color="D3D3D3"/>
              <w:left w:val="single" w:sz="0" w:space="0" w:color="D3D3D3"/>
              <w:bottom w:val="single" w:sz="0" w:space="0" w:color="D3D3D3"/>
              <w:right w:val="single" w:sz="0" w:space="0" w:color="D3D3D3"/>
            </w:tcBorders>
          </w:tcPr>
          <w:p w14:paraId="04079D98"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2.45</w:t>
            </w:r>
          </w:p>
        </w:tc>
      </w:tr>
      <w:tr w:rsidR="00535B97" w:rsidRPr="0035420C" w14:paraId="0BA9611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6EB0D0" w14:textId="77777777" w:rsidR="00535B97" w:rsidRPr="0035420C" w:rsidRDefault="00000000" w:rsidP="0035420C">
            <w:pPr>
              <w:keepNext/>
              <w:spacing w:before="0" w:after="60" w:line="240" w:lineRule="auto"/>
              <w:rPr>
                <w:sz w:val="16"/>
                <w:szCs w:val="16"/>
              </w:rPr>
            </w:pPr>
            <w:proofErr w:type="spellStart"/>
            <w:r w:rsidRPr="0035420C">
              <w:rPr>
                <w:rFonts w:ascii="Calibri" w:hAnsi="Calibri"/>
                <w:sz w:val="16"/>
                <w:szCs w:val="16"/>
              </w:rPr>
              <w:t>Offianka</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5C81D7C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207</w:t>
            </w:r>
          </w:p>
        </w:tc>
        <w:tc>
          <w:tcPr>
            <w:tcW w:w="0" w:type="auto"/>
            <w:tcBorders>
              <w:top w:val="single" w:sz="0" w:space="0" w:color="D3D3D3"/>
              <w:left w:val="single" w:sz="0" w:space="0" w:color="D3D3D3"/>
              <w:bottom w:val="single" w:sz="0" w:space="0" w:color="D3D3D3"/>
              <w:right w:val="single" w:sz="0" w:space="0" w:color="D3D3D3"/>
            </w:tcBorders>
          </w:tcPr>
          <w:p w14:paraId="7C40D52C"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w:t>
            </w:r>
          </w:p>
        </w:tc>
        <w:tc>
          <w:tcPr>
            <w:tcW w:w="0" w:type="auto"/>
            <w:tcBorders>
              <w:top w:val="single" w:sz="0" w:space="0" w:color="D3D3D3"/>
              <w:left w:val="single" w:sz="0" w:space="0" w:color="D3D3D3"/>
              <w:bottom w:val="single" w:sz="0" w:space="0" w:color="D3D3D3"/>
              <w:right w:val="single" w:sz="0" w:space="0" w:color="D3D3D3"/>
            </w:tcBorders>
          </w:tcPr>
          <w:p w14:paraId="5E3EE2E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2.31</w:t>
            </w:r>
          </w:p>
        </w:tc>
        <w:tc>
          <w:tcPr>
            <w:tcW w:w="0" w:type="auto"/>
            <w:tcBorders>
              <w:top w:val="single" w:sz="0" w:space="0" w:color="D3D3D3"/>
              <w:left w:val="single" w:sz="0" w:space="0" w:color="D3D3D3"/>
              <w:bottom w:val="single" w:sz="0" w:space="0" w:color="D3D3D3"/>
              <w:right w:val="single" w:sz="0" w:space="0" w:color="D3D3D3"/>
            </w:tcBorders>
          </w:tcPr>
          <w:p w14:paraId="2D94BEAC"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0.83</w:t>
            </w:r>
          </w:p>
        </w:tc>
        <w:tc>
          <w:tcPr>
            <w:tcW w:w="0" w:type="auto"/>
            <w:tcBorders>
              <w:top w:val="single" w:sz="0" w:space="0" w:color="D3D3D3"/>
              <w:left w:val="single" w:sz="0" w:space="0" w:color="D3D3D3"/>
              <w:bottom w:val="single" w:sz="0" w:space="0" w:color="D3D3D3"/>
              <w:right w:val="single" w:sz="0" w:space="0" w:color="D3D3D3"/>
            </w:tcBorders>
          </w:tcPr>
          <w:p w14:paraId="3E6389C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4.88</w:t>
            </w:r>
          </w:p>
        </w:tc>
      </w:tr>
    </w:tbl>
    <w:p w14:paraId="7BFED2B2" w14:textId="77777777" w:rsidR="00535B97" w:rsidRDefault="00000000">
      <w:r>
        <w:t xml:space="preserve">The relationship between age and seropositivity was not uniform, revealing distinct, village-specific transmission dynamics (Figure 1). Two villages (Ogamanna [CR] and </w:t>
      </w:r>
      <w:proofErr w:type="spellStart"/>
      <w:r>
        <w:t>Ofonekom</w:t>
      </w:r>
      <w:proofErr w:type="spellEnd"/>
      <w:r>
        <w:t xml:space="preserve"> [CR]) exhibited the classic pattern of increasing seroprevalence with age, consistent with long-term, cumulative exposure. This trend was statistically robust in Ogamanna [CR] (Posterior probability of increase &gt; 99%), while </w:t>
      </w:r>
      <w:proofErr w:type="spellStart"/>
      <w:r>
        <w:t>Ofonekom</w:t>
      </w:r>
      <w:proofErr w:type="spellEnd"/>
      <w:r>
        <w:t xml:space="preserve"> [CR] showed a similar but more uncertain trajectory (Probability ~76%). Notably, these two villages are geographically adjacent (&lt; 5km apart), suggesting a shared local ecology. Conversely, Okimbongha [CR] and </w:t>
      </w:r>
      <w:proofErr w:type="spellStart"/>
      <w:r>
        <w:t>Ezeakataka</w:t>
      </w:r>
      <w:proofErr w:type="spellEnd"/>
      <w:r>
        <w:t xml:space="preserve"> [EB] displayed profiles peaking in younger groups before declining, suggestive of recent, focal exposure, though statistical evidence for the decline was weaker (Probability 60–66%). In remaining villages, seroprevalence remained consistently low.</w:t>
      </w:r>
    </w:p>
    <w:p w14:paraId="79E5F5F7" w14:textId="41F6186E" w:rsidR="00535B97" w:rsidRDefault="00535B97"/>
    <w:p w14:paraId="0619F5F3" w14:textId="638F5808" w:rsidR="00535B97" w:rsidRDefault="0035420C">
      <w:r>
        <w:lastRenderedPageBreak/>
        <w:t xml:space="preserve">Figure 1: </w:t>
      </w:r>
      <w:r w:rsidR="00000000">
        <w:t>Village-specific age-seroprevalence curves for Lassa virus. Lines represent median posterior estimates from a generalized additive model, and ribbons show the 95% credible interval.</w:t>
      </w:r>
    </w:p>
    <w:p w14:paraId="2CFD3070" w14:textId="77777777" w:rsidR="00535B97" w:rsidRDefault="00000000">
      <w:pPr>
        <w:pStyle w:val="Heading2"/>
      </w:pPr>
      <w:bookmarkStart w:id="15" w:name="risk-factors-for-seropositivity"/>
      <w:bookmarkEnd w:id="14"/>
      <w:r>
        <w:t>Risk factors for seropositivity</w:t>
      </w:r>
    </w:p>
    <w:p w14:paraId="08380545" w14:textId="77777777" w:rsidR="00535B97" w:rsidRDefault="00000000">
      <w:r>
        <w:t>Univariable models adjusting for village-level clustering found no strong evidence of association between seropositivity and most pre-specified risk factors (Figure 2). Odds ratios were generally close to 1.0 with wide intervals. Given these results and the study’s power limitations from overall low seropositivity, multivariable modelling was deemed unnecessary, we therefore only report univariable results below.</w:t>
      </w:r>
    </w:p>
    <w:p w14:paraId="66928D38" w14:textId="6FB2A14E" w:rsidR="00535B97" w:rsidRDefault="0035420C">
      <w:r>
        <w:t xml:space="preserve">Figure 2: </w:t>
      </w:r>
      <w:r w:rsidR="00000000">
        <w:t>Forest plot of univariable odds ratios for Lassa virus seropositivity. Points are posterior medians, and horizontal bars are 95% credible intervals, adjusted for clustering by village.</w:t>
      </w:r>
    </w:p>
    <w:p w14:paraId="1F409C59" w14:textId="77777777" w:rsidR="00535B97" w:rsidRDefault="00000000">
      <w:pPr>
        <w:pStyle w:val="Heading3"/>
      </w:pPr>
      <w:bookmarkStart w:id="16" w:name="X042de53cab9b58e48e4c57ae21a4886d0cc3095"/>
      <w:r>
        <w:t>Demographic correlates of LASV seropositivity</w:t>
      </w:r>
    </w:p>
    <w:p w14:paraId="0CBAD79B" w14:textId="77777777" w:rsidR="00535B97" w:rsidRDefault="00000000">
      <w:r>
        <w:t>No meaningful association was found for age (OR: 1.01 [0.99–1.02]) or sex (OR: 1.06 [0.64–1.76]). Post-secondary education showed a protective trend (OR: 0.39 [0.17–0.90]), though likely confounded by age and socioeconomic status.</w:t>
      </w:r>
    </w:p>
    <w:p w14:paraId="76EDFD8B" w14:textId="77777777" w:rsidR="00535B97" w:rsidRDefault="00000000">
      <w:pPr>
        <w:pStyle w:val="Heading3"/>
      </w:pPr>
      <w:bookmarkStart w:id="17" w:name="X9e66bea0a8c0e3dc5cd7ca0487bf1b8118d20ac"/>
      <w:bookmarkEnd w:id="16"/>
      <w:r>
        <w:t xml:space="preserve">Environmental and </w:t>
      </w:r>
      <w:proofErr w:type="spellStart"/>
      <w:r>
        <w:t>Behavioral</w:t>
      </w:r>
      <w:proofErr w:type="spellEnd"/>
      <w:r>
        <w:t xml:space="preserve"> correlates of LASV </w:t>
      </w:r>
      <w:proofErr w:type="spellStart"/>
      <w:r>
        <w:t>seropositivty</w:t>
      </w:r>
      <w:proofErr w:type="spellEnd"/>
    </w:p>
    <w:p w14:paraId="2324AC18" w14:textId="77777777" w:rsidR="00535B97" w:rsidRDefault="00000000">
      <w:r>
        <w:t>No clear associations were found for household-level variables such as household size (OR: 0.97, [0.89–1.06]), number of buildings (OR: 0.80, [0.62–1.00]), rodent entry into the home (OR: 0.72, [0.27–2.30]), or cleaning of rodent excreta (OR: 0.42 [0.06–9.64]). Odds ratios for rodent consumption (OR: 0.93 [0.49–1.83]) and past rodent consumption only (OR: 0.59 [0.23–1.46]) were also uncertain.</w:t>
      </w:r>
    </w:p>
    <w:p w14:paraId="50EACC17" w14:textId="77777777" w:rsidR="00535B97" w:rsidRDefault="00000000">
      <w:pPr>
        <w:pStyle w:val="Heading2"/>
      </w:pPr>
      <w:bookmarkStart w:id="18" w:name="spatial-heterogeneity-in-lasv-exposure"/>
      <w:bookmarkEnd w:id="15"/>
      <w:bookmarkEnd w:id="17"/>
      <w:r>
        <w:lastRenderedPageBreak/>
        <w:t>Spatial heterogeneity in LASV exposure</w:t>
      </w:r>
    </w:p>
    <w:p w14:paraId="71942872" w14:textId="202246D8" w:rsidR="00535B97" w:rsidRDefault="0035420C">
      <w:r>
        <w:t xml:space="preserve">Figure 3: </w:t>
      </w:r>
      <w:r w:rsidR="00000000">
        <w:t xml:space="preserve">Spatial distribution of household LASV seropositivity and Local Gi* clustering. Each panel represents a single village, showing jittered household locations. Shapes indicate whether at least one LASV-seropositive individual was recorded in the household. The </w:t>
      </w:r>
      <w:proofErr w:type="spellStart"/>
      <w:r w:rsidR="00000000">
        <w:t>color</w:t>
      </w:r>
      <w:proofErr w:type="spellEnd"/>
      <w:r w:rsidR="00000000">
        <w:t xml:space="preserve"> classification reflects the local clustering of seropositivity, where the Gi* test includes the household’s own value in the local average; a high-value central household may thus be classified as ‘Not significant’ if surrounding seronegative households dilute its local average below the statistical threshold. Scale bars are included to indicate spatial scale; coordinates are not shown to preserve privacy.</w:t>
      </w:r>
    </w:p>
    <w:p w14:paraId="5BE07F1F" w14:textId="77777777" w:rsidR="00535B97" w:rsidRDefault="00000000">
      <w:r>
        <w:t xml:space="preserve">We assessed the spatial clustering of LASV seropositivity at the household level across nine villages. Global spatial autocorrelation, assessed using Moran’s I, found no evidence of significant village-wide clustering in any site (all </w:t>
      </w:r>
      <w:r>
        <w:rPr>
          <w:i/>
          <w:iCs/>
        </w:rPr>
        <w:t>p</w:t>
      </w:r>
      <w:r>
        <w:t xml:space="preserve"> &gt; 0.05). Localised clustering was then evaluated using the </w:t>
      </w:r>
      <w:proofErr w:type="spellStart"/>
      <w:r>
        <w:t>Getis</w:t>
      </w:r>
      <w:proofErr w:type="spellEnd"/>
      <w:r>
        <w:t xml:space="preserve">-Ord Gi* statistic, which identified a total of 27 hotspot and 6 </w:t>
      </w:r>
      <w:proofErr w:type="spellStart"/>
      <w:r>
        <w:t>coldspot</w:t>
      </w:r>
      <w:proofErr w:type="spellEnd"/>
      <w:r>
        <w:t xml:space="preserve"> households across all villages (Figure 3). However, these statistical clusters did not align well with observed seropositivity; of the 59 seropositive households in the study, only 3.6% were located within a designated hotspot.</w:t>
      </w:r>
    </w:p>
    <w:p w14:paraId="4E799CB5" w14:textId="77777777" w:rsidR="00535B97" w:rsidRDefault="00000000">
      <w:r>
        <w:t>Logistic regression confirmed no significant difference in the odds of seropositivity based on cluster status (</w:t>
      </w:r>
      <w:r>
        <w:rPr>
          <w:i/>
          <w:iCs/>
        </w:rPr>
        <w:t>p</w:t>
      </w:r>
      <w:r>
        <w:t xml:space="preserve"> = 0.39 </w:t>
      </w:r>
      <m:oMath>
        <m:r>
          <w:rPr>
            <w:rFonts w:ascii="Cambria Math" w:hAnsi="Cambria Math"/>
          </w:rPr>
          <m:t>O</m:t>
        </m:r>
        <m:sSub>
          <m:sSubPr>
            <m:ctrlPr>
              <w:rPr>
                <w:rFonts w:ascii="Cambria Math" w:hAnsi="Cambria Math"/>
              </w:rPr>
            </m:ctrlPr>
          </m:sSubPr>
          <m:e>
            <m:r>
              <w:rPr>
                <w:rFonts w:ascii="Cambria Math" w:hAnsi="Cambria Math"/>
              </w:rPr>
              <m:t>R</m:t>
            </m:r>
          </m:e>
          <m:sub>
            <m:r>
              <w:rPr>
                <w:rFonts w:ascii="Cambria Math" w:hAnsi="Cambria Math"/>
              </w:rPr>
              <m:t>clustered vs</m:t>
            </m:r>
            <m:r>
              <m:rPr>
                <m:sty m:val="p"/>
              </m:rPr>
              <w:rPr>
                <w:rFonts w:ascii="Cambria Math" w:hAnsi="Cambria Math"/>
              </w:rPr>
              <m:t>.</m:t>
            </m:r>
            <m:r>
              <w:rPr>
                <w:rFonts w:ascii="Cambria Math" w:hAnsi="Cambria Math"/>
              </w:rPr>
              <m:t> non</m:t>
            </m:r>
            <m:r>
              <m:rPr>
                <m:sty m:val="p"/>
              </m:rPr>
              <w:rPr>
                <w:rFonts w:ascii="Cambria Math" w:hAnsi="Cambria Math"/>
              </w:rPr>
              <m:t>-</m:t>
            </m:r>
            <m:r>
              <w:rPr>
                <w:rFonts w:ascii="Cambria Math" w:hAnsi="Cambria Math"/>
              </w:rPr>
              <m:t>clustered</m:t>
            </m:r>
          </m:sub>
        </m:sSub>
      </m:oMath>
      <w:r>
        <w:t xml:space="preserve"> = 0.53 [0.12-2.3]). These results strongly indicate that, in our study sites, seropositive households were not concentrated in discernible spatial clusters.</w:t>
      </w:r>
    </w:p>
    <w:p w14:paraId="2A7D9A6E" w14:textId="77777777" w:rsidR="00535B97" w:rsidRDefault="00000000">
      <w:pPr>
        <w:pStyle w:val="Heading1"/>
      </w:pPr>
      <w:bookmarkStart w:id="19" w:name="discussion"/>
      <w:bookmarkEnd w:id="10"/>
      <w:bookmarkEnd w:id="18"/>
      <w:r>
        <w:t>Discussion</w:t>
      </w:r>
    </w:p>
    <w:p w14:paraId="2F9A3D29" w14:textId="77777777" w:rsidR="00535B97" w:rsidRDefault="00000000">
      <w:r>
        <w:t xml:space="preserve">This study found that LASV exposure in rural Nigeria was substantially lower than anticipated based on national risk models [9]. While the overall model-based IgG </w:t>
      </w:r>
      <w:r>
        <w:lastRenderedPageBreak/>
        <w:t>seroprevalence was 3.2% [2.5–4.0%], this aggregate figure masks marked heterogeneity at the local scale. Prevalence varied significantly between states (1.7% to 5.1%) and, more critically, between villages (0.8% to 6.5%). These findings challenge broad-scale risk mapping, pointing to a transmission landscape that is generally low but punctuated by complex, hyper-local variation supported by three observations: divergent age patterns, absence of risk factor correlation, and lack of spatial clustering.</w:t>
      </w:r>
    </w:p>
    <w:p w14:paraId="4B292782" w14:textId="77777777" w:rsidR="00535B97" w:rsidRDefault="00000000">
      <w:r>
        <w:t>Our seroprevalence estimates are comparable to those from some contemporary studies in West Africa, though such comparisons are conditioned by differences in study populations and laboratory methods [13,25]. The high specificity of the commercial ELISA kit (LASV vs. non-LASV arenaviruses) used in this study may yield more conservative estimates than alternative serological assays [21]. More revealing was the relationship with age. Two villages exhibited classic increasing seroprevalence with age, indicative of cumulative, endemic transmission. Conversely, two others showed peaks in younger groups, suggesting dynamic local transmission [26].</w:t>
      </w:r>
    </w:p>
    <w:p w14:paraId="04DD895C" w14:textId="77777777" w:rsidR="00535B97" w:rsidRDefault="00000000">
      <w:r>
        <w:t xml:space="preserve">Peaks in younger age groups could arise from recent increases in transmission or immunological factors like </w:t>
      </w:r>
      <w:proofErr w:type="spellStart"/>
      <w:r>
        <w:t>seroreversion</w:t>
      </w:r>
      <w:proofErr w:type="spellEnd"/>
      <w:r>
        <w:t xml:space="preserve">. With antibody waning estimated at ~3% annually [27], the decline in older cohorts likely reflects the loss of detectable markers from historical infections. This implies that cross-sectional seroprevalence may serve only as a moving window of recent exposure (e.g., the last 15–20 years) rather than a cumulative record of lifetime risk. Consequently, the distinct peak in younger age groups observed in villages like Okimbongha [CR] likely signals intense, recent transmission events concentrated in younger cohorts, while the low prevalence in older adults reflects both lower recent exposure and the decay of historical antibodies. From a trial planning perspective, these communities with steep age-seroprevalence gradients in younger cohorts likely represent the most viable </w:t>
      </w:r>
      <w:r>
        <w:lastRenderedPageBreak/>
        <w:t>candidates for efficacy studies, as they indicate active, ongoing viral circulation (high force of infection) rather than historical exposure.</w:t>
      </w:r>
    </w:p>
    <w:p w14:paraId="41EB4DD0" w14:textId="77777777" w:rsidR="00535B97" w:rsidRDefault="00000000">
      <w:r>
        <w:t>Consistent with this theme of local heterogeneity, our univariable analyses revealed no strong or consistent demographic, environmental, or occupational correlates of seropositivity. The lack of clear associations with commonly cited risks, such as farming, contrasts with some previous findings [28]. This may be a function of the study’s limited statistical power, a consequence of the low overall seroprevalence, to detect modest individual-level effects. Furthermore, the near-universal reporting of certain exposures, such as the presence of rodents in homes (94%), creates little variability. This complicates the quantification of their true impact, particularly as risk is ultimately driven by the prevalence of LASV within local rodent populations, which itself can be highly variable, again highlighting the heterogeneous nature of risk [4,10].</w:t>
      </w:r>
    </w:p>
    <w:p w14:paraId="7B14F1A9" w14:textId="77777777" w:rsidR="00535B97" w:rsidRDefault="00000000">
      <w:r>
        <w:t>The lack of association with rodent consumption, despite its high prevalence in BN and CR (up to 91%), challenges the assumption that hunting or consumption is the primary driver of spillover. It suggests that transmission may occur more frequently through indirect routes, such as contamination of food stores or household surfaces by rodent urine, which affects the entire household regardless of who consumes the meat</w:t>
      </w:r>
    </w:p>
    <w:p w14:paraId="6D87DD13" w14:textId="77777777" w:rsidR="00535B97" w:rsidRDefault="00000000">
      <w:r>
        <w:t>Collectively, these findings suggest a departure from a uniform transmission model, indicating instead a process that is intensely local and patchy. It is plausible that LASV exposure risk is governed by a complex interplay of factors at the micro-scale of the household or individual, rather than being broadly structured by village geography or demographics. Such factors may include unmeasured variables like household-specific rodent density and viral shedding status, subtle differences in food storage and sanitation practices, or individual activities in high-risk locations not fully captured by our questionnaire.</w:t>
      </w:r>
    </w:p>
    <w:p w14:paraId="10390556" w14:textId="77777777" w:rsidR="00535B97" w:rsidRDefault="00000000">
      <w:pPr>
        <w:pStyle w:val="Heading2"/>
      </w:pPr>
      <w:bookmarkStart w:id="20" w:name="strengths-and-limitations"/>
      <w:r>
        <w:lastRenderedPageBreak/>
        <w:t>Strengths and Limitations</w:t>
      </w:r>
    </w:p>
    <w:p w14:paraId="768E6937" w14:textId="77777777" w:rsidR="00535B97" w:rsidRDefault="00000000">
      <w:r>
        <w:t>The strengths of this study include its systematic, multi-criteria site selection; a large sample size across diverse communities; and a robust analytical framework using Bayesian mixed models to account for data hierarchies and uncertainty. The inclusion of formal spatial statistics adds rigor to our conclusion that transmission is not strongly clustered at the household level. Nevertheless, the study has important limitations. It was powered to detect village-level differences based on higher seroprevalence estimates from previous studies; however, the observed low seroprevalence limited our power for individual-level risk factor analysis.</w:t>
      </w:r>
    </w:p>
    <w:p w14:paraId="50674CEE" w14:textId="77777777" w:rsidR="00535B97" w:rsidRDefault="00000000">
      <w:r>
        <w:t xml:space="preserve">The cross-sectional design precludes assessment of causality and the distinction between recent and past infections. Consequently, while baseline seroprevalence is a superior screening tool compared to regional risk maps, it remains a proxy for true incidence. Ideally, serosurveys should be used to stratify villages for subsequent prospective incidence studies. This challenge is compounded by the potential for antibody waning and </w:t>
      </w:r>
      <w:proofErr w:type="spellStart"/>
      <w:r>
        <w:t>sero</w:t>
      </w:r>
      <w:proofErr w:type="spellEnd"/>
      <w:r>
        <w:t>-reversion, the rates of which are critical for accurate Force of Infection estimation but remain poorly understood for LASV. Furthermore, the measurement of behaviour and environment at a single cross-sectional point may not accurately reflect cumulative lifetime exposure, as housing and habits vary over time. Finally, reliance on self-reported behaviours is subject to recall bias, and the study lacked objective ecological measures, such as rodent abundance data.</w:t>
      </w:r>
    </w:p>
    <w:p w14:paraId="25FF1A4F" w14:textId="77777777" w:rsidR="00535B97" w:rsidRDefault="00000000">
      <w:pPr>
        <w:pStyle w:val="Heading2"/>
      </w:pPr>
      <w:bookmarkStart w:id="21" w:name="X97ff6ff790f491a7269181d4cea4db7e77c634c"/>
      <w:bookmarkEnd w:id="20"/>
      <w:r>
        <w:t>Public Health Implications and Future Directions</w:t>
      </w:r>
    </w:p>
    <w:p w14:paraId="46A105FE" w14:textId="77777777" w:rsidR="00535B97" w:rsidRDefault="00000000">
      <w:r>
        <w:t xml:space="preserve">The absence of spatial clustering and a clear risk profile suggests that geographically-targeted interventions may be inefficient. Furthermore, these findings highlight a critical vulnerability in the planning of Phase III vaccine efficacy trials. Our data demonstrate that being located </w:t>
      </w:r>
      <w:r>
        <w:lastRenderedPageBreak/>
        <w:t>within a high-risk state or Local Government Area does not guarantee high local exposure. Consequently, trial sites selected based on regional notification rates may inadvertently target villages with insufficient transmission intensity to demonstrate vaccine efficacy. To mitigate this risk, clinical trial site selection must adopt a One Health approach, moving beyond passive surveillance data to incorporate granular, active human serosurveys alongside prospective, longitudinal monitoring of rodent reservoirs. This integrated strategy ensures that trials are enrolled in locations where the virus is demonstrably circulating in the animal host, thereby maximising the likelihood of capturing spillover events.</w:t>
      </w:r>
    </w:p>
    <w:p w14:paraId="2A6FAB14" w14:textId="77777777" w:rsidR="00535B97" w:rsidRDefault="00000000">
      <w:r>
        <w:t>Public health efforts should prioritize broadly-deployed, household-level interventions (e.g., rodent-proofing) and maintain high suspicion in surveillance across all villages within endemic regions, not just sentinel sites. Surveillance must also include areas of previously low-predicted risk (e.g., cold spots) given the observed micro-heterogeneity. Future research must employ a One Health approach, leveraging data from our ongoing longitudinal rodent sampling [16]. Ultimately, disentangling these patterns requires longitudinal cohort studies linking exposures with seroconversion.</w:t>
      </w:r>
    </w:p>
    <w:p w14:paraId="1902F4E3" w14:textId="77777777" w:rsidR="00535B97" w:rsidRDefault="00000000">
      <w:pPr>
        <w:pStyle w:val="Heading2"/>
      </w:pPr>
      <w:bookmarkStart w:id="22" w:name="conclusion"/>
      <w:bookmarkEnd w:id="21"/>
      <w:r>
        <w:t>Conclusion</w:t>
      </w:r>
    </w:p>
    <w:p w14:paraId="21795B0B" w14:textId="77777777" w:rsidR="00535B97" w:rsidRDefault="00000000">
      <w:r>
        <w:t>LASV exposure in rural Nigeria is highly variable and likely driven by complex, hyper-local factors. These findings caution against reliance on broad-scale risk mapping for public health planning. Effective control requires shifting toward adaptable, household-focused interventions and, critically, the adoption of granular, One Health surveillance strategies to accurately identify high-transmission sites for clinical research and vaccine deployment.</w:t>
      </w:r>
    </w:p>
    <w:p w14:paraId="47A67FC6" w14:textId="77777777" w:rsidR="00535B97" w:rsidRDefault="00000000">
      <w:pPr>
        <w:pStyle w:val="Heading1"/>
      </w:pPr>
      <w:bookmarkStart w:id="23" w:name="acknowledgments"/>
      <w:bookmarkEnd w:id="19"/>
      <w:bookmarkEnd w:id="22"/>
      <w:r>
        <w:lastRenderedPageBreak/>
        <w:t>Acknowledgments</w:t>
      </w:r>
    </w:p>
    <w:p w14:paraId="5980B368" w14:textId="77777777" w:rsidR="00535B97" w:rsidRDefault="00000000">
      <w:r>
        <w:t>We sincerely thank the residents and leadership of the nine study communities in Benue, Cross River, and Ebonyi states for their warm welcome, hospitality, and willingness to participate in this research. We are deeply grateful to the community liaisons and village guides whose local knowledge and dedication were vital for facilitating community entry and navigation. We also acknowledge the State Ministries of Health and the local public health teams, including the Disease Surveillance and Notification Officers (DSNOs), for their essential logistical support and ongoing collaboration throughout the fieldwork. Funding was provided by the joint NSF‐NIH‐NIFA Ecology and Evolution of Infectious Disease Award #2208034 in partnership with Research and Innovation (UKRI) Biotechnology and Biological Sciences Research Council (BBSRC) Award BB/X005364/1.</w:t>
      </w:r>
    </w:p>
    <w:p w14:paraId="396F8CE0" w14:textId="77777777" w:rsidR="00535B97" w:rsidRPr="006D10F7" w:rsidRDefault="00000000">
      <w:pPr>
        <w:pStyle w:val="Heading1"/>
        <w:rPr>
          <w:lang w:val="sv-SE"/>
        </w:rPr>
      </w:pPr>
      <w:bookmarkStart w:id="24" w:name="references"/>
      <w:bookmarkEnd w:id="23"/>
      <w:r w:rsidRPr="006D10F7">
        <w:rPr>
          <w:lang w:val="sv-SE"/>
        </w:rPr>
        <w:t>References</w:t>
      </w:r>
    </w:p>
    <w:p w14:paraId="077C3D07" w14:textId="77777777" w:rsidR="00535B97" w:rsidRDefault="00000000">
      <w:bookmarkStart w:id="25" w:name="ref-basinskiBridgingGapUsing2021"/>
      <w:bookmarkStart w:id="26" w:name="refs"/>
      <w:r w:rsidRPr="006D10F7">
        <w:rPr>
          <w:lang w:val="sv-SE"/>
        </w:rPr>
        <w:t xml:space="preserve">1. </w:t>
      </w:r>
      <w:r w:rsidRPr="006D10F7">
        <w:rPr>
          <w:lang w:val="sv-SE"/>
        </w:rPr>
        <w:tab/>
        <w:t xml:space="preserve">Basinski AJ, Fichet-Calvet E, Sjodin AR, Varrelman TJ, Remien CH, Layman NC, et al. </w:t>
      </w:r>
      <w:r>
        <w:fldChar w:fldCharType="begin"/>
      </w:r>
      <w:r w:rsidRPr="006D10F7">
        <w:rPr>
          <w:lang w:val="sv-SE"/>
        </w:rPr>
        <w:instrText>HYPERLINK "https://doi.org/10.1371/journal.pcbi.1008811" \h</w:instrText>
      </w:r>
      <w:r>
        <w:fldChar w:fldCharType="separate"/>
      </w:r>
      <w:r>
        <w:t>Bridging the gap: Using reservoir ecology and human serosurveys to estimate Lassa virus spillover in West Africa</w:t>
      </w:r>
      <w:r>
        <w:fldChar w:fldCharType="end"/>
      </w:r>
      <w:r>
        <w:t xml:space="preserve">. Wesolowski A, editor. PLOS Computational Biology. 2021 Mar;17(3):e1008811. </w:t>
      </w:r>
    </w:p>
    <w:p w14:paraId="443DEC3E" w14:textId="77777777" w:rsidR="00535B97" w:rsidRDefault="00000000">
      <w:bookmarkStart w:id="27" w:name="ref-salamRibavirinTreatingLassa2022"/>
      <w:bookmarkEnd w:id="25"/>
      <w:r>
        <w:t xml:space="preserve">2. </w:t>
      </w:r>
      <w:r>
        <w:tab/>
        <w:t xml:space="preserve">Salam AP, </w:t>
      </w:r>
      <w:proofErr w:type="spellStart"/>
      <w:r>
        <w:t>Duvignaud</w:t>
      </w:r>
      <w:proofErr w:type="spellEnd"/>
      <w:r>
        <w:t xml:space="preserve"> A, </w:t>
      </w:r>
      <w:proofErr w:type="spellStart"/>
      <w:r>
        <w:t>Jaspard</w:t>
      </w:r>
      <w:proofErr w:type="spellEnd"/>
      <w:r>
        <w:t xml:space="preserve"> M, </w:t>
      </w:r>
      <w:proofErr w:type="spellStart"/>
      <w:r>
        <w:t>Malvy</w:t>
      </w:r>
      <w:proofErr w:type="spellEnd"/>
      <w:r>
        <w:t xml:space="preserve"> D, Carroll M, Tarning J, et al. </w:t>
      </w:r>
      <w:hyperlink r:id="rId5">
        <w:r>
          <w:t>Ribavirin for treating Lassa fever: A systematic review of pre-clinical studies and implications for human dosing</w:t>
        </w:r>
      </w:hyperlink>
      <w:r>
        <w:t xml:space="preserve">. </w:t>
      </w:r>
      <w:proofErr w:type="spellStart"/>
      <w:r>
        <w:t>PLoS</w:t>
      </w:r>
      <w:proofErr w:type="spellEnd"/>
      <w:r>
        <w:t xml:space="preserve"> Neglected Tropical Diseases. 2022 Mar;16(3):e0010289. </w:t>
      </w:r>
    </w:p>
    <w:p w14:paraId="169CD0EE" w14:textId="77777777" w:rsidR="00535B97" w:rsidRDefault="00000000">
      <w:bookmarkStart w:id="28" w:name="ref-bellocqDhatiWelelVirus2020"/>
      <w:bookmarkEnd w:id="27"/>
      <w:r>
        <w:t xml:space="preserve">3. </w:t>
      </w:r>
      <w:r>
        <w:tab/>
      </w:r>
      <w:proofErr w:type="spellStart"/>
      <w:r>
        <w:t>Bellocq</w:t>
      </w:r>
      <w:proofErr w:type="spellEnd"/>
      <w:r>
        <w:t xml:space="preserve"> JGD, </w:t>
      </w:r>
      <w:proofErr w:type="spellStart"/>
      <w:r>
        <w:t>Bryjová</w:t>
      </w:r>
      <w:proofErr w:type="spellEnd"/>
      <w:r>
        <w:t xml:space="preserve"> A, Martynov AA, </w:t>
      </w:r>
      <w:proofErr w:type="spellStart"/>
      <w:r>
        <w:t>Lavrenchenko</w:t>
      </w:r>
      <w:proofErr w:type="spellEnd"/>
      <w:r>
        <w:t xml:space="preserve"> LA. </w:t>
      </w:r>
      <w:hyperlink r:id="rId6">
        <w:r>
          <w:t>Dhati Welel virus, the missing mammarenavirus of the widespread Mastomys natalensis</w:t>
        </w:r>
      </w:hyperlink>
      <w:r>
        <w:t xml:space="preserve">. Journal of Vertebrate Biology. 2020 Jun;69(2):20018.1. </w:t>
      </w:r>
    </w:p>
    <w:p w14:paraId="1907FC1A" w14:textId="77777777" w:rsidR="00535B97" w:rsidRDefault="00000000">
      <w:bookmarkStart w:id="29" w:name="ref-marienHouseholdsHotspotsLassa2020"/>
      <w:bookmarkEnd w:id="28"/>
      <w:r>
        <w:lastRenderedPageBreak/>
        <w:t xml:space="preserve">4. </w:t>
      </w:r>
      <w:r>
        <w:tab/>
        <w:t xml:space="preserve">Mariën J, Iacono GL, Rieger T, Magassouba N, Günther S, Fichet-Calvet E. </w:t>
      </w:r>
      <w:hyperlink r:id="rId7">
        <w:r>
          <w:t>Households as hotspots of Lassa fever? Assessing the spatial distribution of Lassa virus-infected rodents in rural villages of Guinea</w:t>
        </w:r>
      </w:hyperlink>
      <w:r>
        <w:t xml:space="preserve">. Emerging Microbes &amp; Infections. 2020 Jan;9(1):1055–64. </w:t>
      </w:r>
    </w:p>
    <w:p w14:paraId="625F296A" w14:textId="77777777" w:rsidR="00535B97" w:rsidRDefault="00000000">
      <w:bookmarkStart w:id="30" w:name="ref-hoffmannLassaVirusPersistence2024"/>
      <w:bookmarkEnd w:id="29"/>
      <w:r>
        <w:t xml:space="preserve">5. </w:t>
      </w:r>
      <w:r>
        <w:tab/>
        <w:t xml:space="preserve">Hoffmann C, </w:t>
      </w:r>
      <w:proofErr w:type="spellStart"/>
      <w:r>
        <w:t>Krasemann</w:t>
      </w:r>
      <w:proofErr w:type="spellEnd"/>
      <w:r>
        <w:t xml:space="preserve"> S, Wurr S, Hartmann K, Adam E, Bockholt S, et al. </w:t>
      </w:r>
      <w:hyperlink r:id="rId8">
        <w:r>
          <w:t xml:space="preserve">Lassa virus persistence with high viral </w:t>
        </w:r>
        <w:proofErr w:type="spellStart"/>
        <w:r>
          <w:t>titers</w:t>
        </w:r>
        <w:proofErr w:type="spellEnd"/>
        <w:r>
          <w:t xml:space="preserve"> following experimental infection in its natural reservoir host, Mastomys natalensis</w:t>
        </w:r>
      </w:hyperlink>
      <w:r>
        <w:t xml:space="preserve">. Nature Communications. 2024 Oct;15(1):9319. </w:t>
      </w:r>
    </w:p>
    <w:p w14:paraId="77C4BBA5" w14:textId="77777777" w:rsidR="00535B97" w:rsidRDefault="00000000">
      <w:bookmarkStart w:id="31" w:name="ref-leirsTwentynineYearsContinuous2023"/>
      <w:bookmarkEnd w:id="30"/>
      <w:r>
        <w:t xml:space="preserve">6. </w:t>
      </w:r>
      <w:r>
        <w:tab/>
      </w:r>
      <w:proofErr w:type="spellStart"/>
      <w:r>
        <w:t>Leirs</w:t>
      </w:r>
      <w:proofErr w:type="spellEnd"/>
      <w:r>
        <w:t xml:space="preserve"> H, Kirkpatrick L, </w:t>
      </w:r>
      <w:proofErr w:type="spellStart"/>
      <w:r>
        <w:t>Sluydts</w:t>
      </w:r>
      <w:proofErr w:type="spellEnd"/>
      <w:r>
        <w:t xml:space="preserve"> V, </w:t>
      </w:r>
      <w:proofErr w:type="spellStart"/>
      <w:r>
        <w:t>Sabuni</w:t>
      </w:r>
      <w:proofErr w:type="spellEnd"/>
      <w:r>
        <w:t xml:space="preserve"> C, Borremans B, </w:t>
      </w:r>
      <w:proofErr w:type="spellStart"/>
      <w:r>
        <w:t>Katakweba</w:t>
      </w:r>
      <w:proofErr w:type="spellEnd"/>
      <w:r>
        <w:t xml:space="preserve"> A, et al. </w:t>
      </w:r>
      <w:hyperlink r:id="rId9">
        <w:r>
          <w:t>Twenty-nine years of continuous monthly capture-mark-recapture data of multimammate mice (Mastomys natalensis) in Morogoro, Tanzania</w:t>
        </w:r>
      </w:hyperlink>
      <w:r>
        <w:t xml:space="preserve">. Scientific Data. 2023 Nov;10(1):798. </w:t>
      </w:r>
    </w:p>
    <w:p w14:paraId="515F979C" w14:textId="77777777" w:rsidR="00535B97" w:rsidRDefault="00000000">
      <w:bookmarkStart w:id="32" w:name="ref-bauschLassaFeverGuinea2001"/>
      <w:bookmarkEnd w:id="31"/>
      <w:r>
        <w:t xml:space="preserve">7. </w:t>
      </w:r>
      <w:r>
        <w:tab/>
        <w:t xml:space="preserve">Bausch DG, Demby AH, Coulibaly M, Kanu J, Goba A, Bah A, et al. </w:t>
      </w:r>
      <w:hyperlink r:id="rId10">
        <w:r>
          <w:t>Lassa fever in Guinea: I. Epidemiology of human disease and clinical observations</w:t>
        </w:r>
      </w:hyperlink>
      <w:r>
        <w:t xml:space="preserve">. Vector Borne and Zoonotic Diseases (Larchmont, NY). 2001;1(4):269–81. </w:t>
      </w:r>
    </w:p>
    <w:p w14:paraId="5B482073" w14:textId="77777777" w:rsidR="00535B97" w:rsidRDefault="00000000">
      <w:bookmarkStart w:id="33" w:name="ref-simonsLassaFeverCases2022c"/>
      <w:bookmarkEnd w:id="32"/>
      <w:r>
        <w:t xml:space="preserve">8. </w:t>
      </w:r>
      <w:r>
        <w:tab/>
        <w:t xml:space="preserve">Simons D. </w:t>
      </w:r>
      <w:hyperlink r:id="rId11">
        <w:r>
          <w:t>Lassa fever cases suffer from severe underreporting based on reported fatalities</w:t>
        </w:r>
      </w:hyperlink>
      <w:r>
        <w:t xml:space="preserve">. International Health. 2022; </w:t>
      </w:r>
    </w:p>
    <w:p w14:paraId="7911C160" w14:textId="77777777" w:rsidR="00535B97" w:rsidRDefault="00000000">
      <w:bookmarkStart w:id="34" w:name="Xfd7bf3e23ed3a75c0b8d273659662c76f0a2b5c"/>
      <w:bookmarkEnd w:id="33"/>
      <w:r>
        <w:t xml:space="preserve">9. </w:t>
      </w:r>
      <w:r>
        <w:tab/>
        <w:t xml:space="preserve">Redding DW, Moses LM, Cunningham AA, Wood J, Jones KE. </w:t>
      </w:r>
      <w:hyperlink r:id="rId12">
        <w:r>
          <w:t>Environmental-mechanistic modelling of the impact of global change on human zoonotic disease emergence: A case study of Lassa fever</w:t>
        </w:r>
      </w:hyperlink>
      <w:r>
        <w:t xml:space="preserve">. Methods in Ecology and Evolution. 2016;7(6):646–55. </w:t>
      </w:r>
    </w:p>
    <w:p w14:paraId="39348BC4" w14:textId="77777777" w:rsidR="00535B97" w:rsidRDefault="00000000">
      <w:bookmarkStart w:id="35" w:name="ref-banguraLassaVirusCirculation2021"/>
      <w:bookmarkEnd w:id="34"/>
      <w:r>
        <w:t xml:space="preserve">10. </w:t>
      </w:r>
      <w:r>
        <w:tab/>
        <w:t xml:space="preserve">Bangura U, </w:t>
      </w:r>
      <w:proofErr w:type="spellStart"/>
      <w:r>
        <w:t>Buanie</w:t>
      </w:r>
      <w:proofErr w:type="spellEnd"/>
      <w:r>
        <w:t xml:space="preserve"> J, Lamin J, Davis C, Bongo GN, Dawson M, et al. </w:t>
      </w:r>
      <w:hyperlink r:id="rId13">
        <w:r>
          <w:t>Lassa Virus Circulation in Small Mammal Populations in Bo District, Sierra Leone</w:t>
        </w:r>
      </w:hyperlink>
      <w:r>
        <w:t xml:space="preserve">. BIOLOGY-BASEL. 2021 Jan;10(1). </w:t>
      </w:r>
    </w:p>
    <w:p w14:paraId="2FE2BCD7" w14:textId="77777777" w:rsidR="00535B97" w:rsidRDefault="00000000">
      <w:bookmarkStart w:id="36" w:name="X0ff919c2149c8697adaeabf17ca4911e635a86c"/>
      <w:bookmarkEnd w:id="35"/>
      <w:r>
        <w:t xml:space="preserve">11. </w:t>
      </w:r>
      <w:r>
        <w:tab/>
        <w:t xml:space="preserve">Eskew EA, Bird BH, Ghersi BM, Bangura J, Basinski AJ, Amara E, et al. </w:t>
      </w:r>
      <w:hyperlink r:id="rId14">
        <w:r>
          <w:t>Reservoir displacement by an invasive rodent reduces Lassa virus zoonotic spillover risk</w:t>
        </w:r>
      </w:hyperlink>
      <w:r>
        <w:t xml:space="preserve">. Nature Communications. 2024 Apr;15(1):3589. </w:t>
      </w:r>
    </w:p>
    <w:p w14:paraId="28734765" w14:textId="77777777" w:rsidR="00535B97" w:rsidRPr="006D10F7" w:rsidRDefault="00000000">
      <w:pPr>
        <w:rPr>
          <w:lang w:val="sv-SE"/>
        </w:rPr>
      </w:pPr>
      <w:bookmarkStart w:id="37" w:name="ref-simonsLandUseGradients2025"/>
      <w:bookmarkEnd w:id="36"/>
      <w:r>
        <w:lastRenderedPageBreak/>
        <w:t xml:space="preserve">12. </w:t>
      </w:r>
      <w:r>
        <w:tab/>
        <w:t xml:space="preserve">Simons D, Gibb R, Bangura U, </w:t>
      </w:r>
      <w:proofErr w:type="spellStart"/>
      <w:r>
        <w:t>Sondufu</w:t>
      </w:r>
      <w:proofErr w:type="spellEnd"/>
      <w:r>
        <w:t xml:space="preserve"> D, Lamin J, Koninga J, et al. </w:t>
      </w:r>
      <w:hyperlink r:id="rId15">
        <w:r>
          <w:t>Land use gradients drive spatial variation in Lassa fever host communities in the Eastern Province of Sierra Leone.</w:t>
        </w:r>
      </w:hyperlink>
      <w:r>
        <w:t xml:space="preserve"> </w:t>
      </w:r>
      <w:r w:rsidRPr="006D10F7">
        <w:rPr>
          <w:lang w:val="sv-SE"/>
        </w:rPr>
        <w:t xml:space="preserve">2025. </w:t>
      </w:r>
    </w:p>
    <w:p w14:paraId="6986A583" w14:textId="77777777" w:rsidR="00535B97" w:rsidRDefault="00000000">
      <w:bookmarkStart w:id="38" w:name="ref-Grant2023-em"/>
      <w:bookmarkEnd w:id="37"/>
      <w:r w:rsidRPr="006D10F7">
        <w:rPr>
          <w:lang w:val="sv-SE"/>
        </w:rPr>
        <w:t xml:space="preserve">13. </w:t>
      </w:r>
      <w:r w:rsidRPr="006D10F7">
        <w:rPr>
          <w:lang w:val="sv-SE"/>
        </w:rPr>
        <w:tab/>
        <w:t xml:space="preserve">Grant DS, Engel EJ, Roberts Yerkes N, Kanneh L, Koninga J, Gbakie MA, et al. </w:t>
      </w:r>
      <w:r>
        <w:t>Seroprevalence of anti-</w:t>
      </w:r>
      <w:proofErr w:type="spellStart"/>
      <w:r>
        <w:t>lassa</w:t>
      </w:r>
      <w:proofErr w:type="spellEnd"/>
      <w:r>
        <w:t xml:space="preserve"> virus IgG antibodies in three districts of </w:t>
      </w:r>
      <w:proofErr w:type="spellStart"/>
      <w:r>
        <w:t>sierra</w:t>
      </w:r>
      <w:proofErr w:type="spellEnd"/>
      <w:r>
        <w:t xml:space="preserve"> </w:t>
      </w:r>
      <w:proofErr w:type="spellStart"/>
      <w:r>
        <w:t>leone</w:t>
      </w:r>
      <w:proofErr w:type="spellEnd"/>
      <w:r>
        <w:t xml:space="preserve">: A cross-sectional, population-based study. </w:t>
      </w:r>
      <w:proofErr w:type="spellStart"/>
      <w:r>
        <w:t>PLoS</w:t>
      </w:r>
      <w:proofErr w:type="spellEnd"/>
      <w:r>
        <w:t xml:space="preserve"> </w:t>
      </w:r>
      <w:proofErr w:type="spellStart"/>
      <w:r>
        <w:t>Negl</w:t>
      </w:r>
      <w:proofErr w:type="spellEnd"/>
      <w:r>
        <w:t xml:space="preserve"> Trop Dis. 2023 Feb;17(2):e0010938. </w:t>
      </w:r>
    </w:p>
    <w:p w14:paraId="6D8878CA" w14:textId="77777777" w:rsidR="00535B97" w:rsidRDefault="00000000">
      <w:bookmarkStart w:id="39" w:name="ref-malkinSafetyImmunogenicityRVSV2025"/>
      <w:bookmarkEnd w:id="38"/>
      <w:r>
        <w:t xml:space="preserve">14. </w:t>
      </w:r>
      <w:r>
        <w:tab/>
        <w:t xml:space="preserve">Malkin E, Zaric M, </w:t>
      </w:r>
      <w:proofErr w:type="spellStart"/>
      <w:r>
        <w:t>Kieh</w:t>
      </w:r>
      <w:proofErr w:type="spellEnd"/>
      <w:r>
        <w:t xml:space="preserve"> M, Baden LR, Fitz-Patrick D, Marini A, et al. Safety and Immunogenicity of an </w:t>
      </w:r>
      <w:proofErr w:type="spellStart"/>
      <w:r>
        <w:t>rVSV</w:t>
      </w:r>
      <w:proofErr w:type="spellEnd"/>
      <w:r>
        <w:t xml:space="preserve"> Lassa Fever Vaccine Candidate. N Engl J Med [Internet]. 2025 Nov 6 [cited 2025 Dec 18];393(18):1807–18. Available from: </w:t>
      </w:r>
      <w:hyperlink r:id="rId16">
        <w:r>
          <w:t>http://www.nejm.org/doi/10.1056/NEJMoa2501073</w:t>
        </w:r>
      </w:hyperlink>
    </w:p>
    <w:p w14:paraId="278ED44C" w14:textId="77777777" w:rsidR="00535B97" w:rsidRDefault="00000000">
      <w:bookmarkStart w:id="40" w:name="X60a08ed044c51b6218d0acc2297bbc5df3dad9f"/>
      <w:bookmarkEnd w:id="39"/>
      <w:r>
        <w:t xml:space="preserve">15. </w:t>
      </w:r>
      <w:r>
        <w:tab/>
        <w:t xml:space="preserve">Mariën J, </w:t>
      </w:r>
      <w:proofErr w:type="spellStart"/>
      <w:r>
        <w:t>Nuismer</w:t>
      </w:r>
      <w:proofErr w:type="spellEnd"/>
      <w:r>
        <w:t xml:space="preserve"> SL, Magassouba N, </w:t>
      </w:r>
      <w:proofErr w:type="spellStart"/>
      <w:r>
        <w:t>Soropogui</w:t>
      </w:r>
      <w:proofErr w:type="spellEnd"/>
      <w:r>
        <w:t xml:space="preserve"> B, Günther S, Becker-Ziaja B, et al. </w:t>
      </w:r>
      <w:proofErr w:type="spellStart"/>
      <w:r>
        <w:t>Serosurveillance</w:t>
      </w:r>
      <w:proofErr w:type="spellEnd"/>
      <w:r>
        <w:t xml:space="preserve"> Identifies an Endemic Hotspot of Lassa Fever in </w:t>
      </w:r>
      <w:proofErr w:type="spellStart"/>
      <w:r>
        <w:t>Faranah</w:t>
      </w:r>
      <w:proofErr w:type="spellEnd"/>
      <w:r>
        <w:t xml:space="preserve">, Upper Guinea. The Journal of Infectious Diseases [Internet]. 2025 Jun 13 [cited 2025 Jul 21]; Available from: </w:t>
      </w:r>
      <w:hyperlink r:id="rId17">
        <w:r>
          <w:t>https://academic.oup.com/jid/advance-article/doi/10.1093/infdis/jiaf308/8161380</w:t>
        </w:r>
      </w:hyperlink>
    </w:p>
    <w:p w14:paraId="2D732547" w14:textId="77777777" w:rsidR="00535B97" w:rsidRDefault="00000000">
      <w:bookmarkStart w:id="41" w:name="ref-friantScalingLassaVirus2025"/>
      <w:bookmarkEnd w:id="40"/>
      <w:r w:rsidRPr="006D10F7">
        <w:rPr>
          <w:lang w:val="sv-SE"/>
        </w:rPr>
        <w:t xml:space="preserve">16. </w:t>
      </w:r>
      <w:r w:rsidRPr="006D10F7">
        <w:rPr>
          <w:lang w:val="sv-SE"/>
        </w:rPr>
        <w:tab/>
        <w:t xml:space="preserve">Friant S, Simons D, Bjornstad O, Gibb R, Harden C, Imirzian N, et al. </w:t>
      </w:r>
      <w:r>
        <w:fldChar w:fldCharType="begin"/>
      </w:r>
      <w:r w:rsidRPr="006D10F7">
        <w:rPr>
          <w:lang w:val="sv-SE"/>
        </w:rPr>
        <w:instrText>HYPERLINK "https://doi.org/10.1101/2025.09.12.25335176" \h</w:instrText>
      </w:r>
      <w:r>
        <w:fldChar w:fldCharType="separate"/>
      </w:r>
      <w:r>
        <w:t>Scaling Lassa Virus Dynamics within Anthropogenic Ecosystems (SCAPES) study: A mixed-methods observational cohort study of humans, rodents, and landscapes in Nigeria</w:t>
      </w:r>
      <w:r>
        <w:fldChar w:fldCharType="end"/>
      </w:r>
      <w:r>
        <w:t xml:space="preserve">. </w:t>
      </w:r>
      <w:proofErr w:type="spellStart"/>
      <w:r>
        <w:t>medRxiv</w:t>
      </w:r>
      <w:proofErr w:type="spellEnd"/>
      <w:r>
        <w:t xml:space="preserve">; 2025. p. 2025.09.12.25335176. </w:t>
      </w:r>
    </w:p>
    <w:p w14:paraId="3569DB14" w14:textId="77777777" w:rsidR="00535B97" w:rsidRDefault="00000000">
      <w:bookmarkStart w:id="42" w:name="ref-imirzianSitetoolApplicationField2025"/>
      <w:bookmarkEnd w:id="41"/>
      <w:r>
        <w:t xml:space="preserve">17. </w:t>
      </w:r>
      <w:r>
        <w:tab/>
        <w:t xml:space="preserve">Imirzian N, Simons D, Harden C, Johnson E, Hewitson M, Friant S, et al. </w:t>
      </w:r>
      <w:proofErr w:type="spellStart"/>
      <w:r>
        <w:t>Sitetool</w:t>
      </w:r>
      <w:proofErr w:type="spellEnd"/>
      <w:r>
        <w:t xml:space="preserve">: An application for field site selection and evaluation [Internet]. 2025 [cited 2025 Dec 12]. Available from: </w:t>
      </w:r>
      <w:hyperlink r:id="rId18">
        <w:r>
          <w:t>https://ecoevorxiv.org/repository/view/10620/</w:t>
        </w:r>
      </w:hyperlink>
    </w:p>
    <w:p w14:paraId="39065047" w14:textId="77777777" w:rsidR="00535B97" w:rsidRDefault="00000000">
      <w:bookmarkStart w:id="43" w:name="ref-Kerneis2009-sb"/>
      <w:bookmarkEnd w:id="42"/>
      <w:r>
        <w:t xml:space="preserve">18. </w:t>
      </w:r>
      <w:r>
        <w:tab/>
      </w:r>
      <w:proofErr w:type="spellStart"/>
      <w:r>
        <w:t>Kernéis</w:t>
      </w:r>
      <w:proofErr w:type="spellEnd"/>
      <w:r>
        <w:t xml:space="preserve"> S, </w:t>
      </w:r>
      <w:proofErr w:type="spellStart"/>
      <w:r>
        <w:t>Koivogui</w:t>
      </w:r>
      <w:proofErr w:type="spellEnd"/>
      <w:r>
        <w:t xml:space="preserve"> L, Magassouba N, </w:t>
      </w:r>
      <w:proofErr w:type="spellStart"/>
      <w:r>
        <w:t>Koulemou</w:t>
      </w:r>
      <w:proofErr w:type="spellEnd"/>
      <w:r>
        <w:t xml:space="preserve"> K, Lewis R, </w:t>
      </w:r>
      <w:proofErr w:type="spellStart"/>
      <w:r>
        <w:t>Aplogan</w:t>
      </w:r>
      <w:proofErr w:type="spellEnd"/>
      <w:r>
        <w:t xml:space="preserve"> A, et al. Prevalence and risk factors of </w:t>
      </w:r>
      <w:proofErr w:type="spellStart"/>
      <w:r>
        <w:t>lassa</w:t>
      </w:r>
      <w:proofErr w:type="spellEnd"/>
      <w:r>
        <w:t xml:space="preserve"> seropositivity in inhabitants of the forest region of guinea: A cross-sectional study. </w:t>
      </w:r>
      <w:proofErr w:type="spellStart"/>
      <w:r>
        <w:t>PLoS</w:t>
      </w:r>
      <w:proofErr w:type="spellEnd"/>
      <w:r>
        <w:t xml:space="preserve"> </w:t>
      </w:r>
      <w:proofErr w:type="spellStart"/>
      <w:r>
        <w:t>Negl</w:t>
      </w:r>
      <w:proofErr w:type="spellEnd"/>
      <w:r>
        <w:t xml:space="preserve"> Trop Dis. 2009 Nov;3(11):e548. </w:t>
      </w:r>
    </w:p>
    <w:p w14:paraId="42428E9B" w14:textId="77777777" w:rsidR="00535B97" w:rsidRDefault="00000000">
      <w:bookmarkStart w:id="44" w:name="ref-RiskLabPSUBaselineseroprevpublic2025"/>
      <w:bookmarkEnd w:id="43"/>
      <w:r>
        <w:lastRenderedPageBreak/>
        <w:t xml:space="preserve">19. </w:t>
      </w:r>
      <w:r>
        <w:tab/>
      </w:r>
      <w:proofErr w:type="spellStart"/>
      <w:r>
        <w:t>RiskLabPSU</w:t>
      </w:r>
      <w:proofErr w:type="spellEnd"/>
      <w:r>
        <w:t>/baseline-</w:t>
      </w:r>
      <w:proofErr w:type="spellStart"/>
      <w:r>
        <w:t>seroprev</w:t>
      </w:r>
      <w:proofErr w:type="spellEnd"/>
      <w:r>
        <w:t xml:space="preserve">-public [Internet]. Risk Lab PSU; 2025 [cited 2025 Dec 16]. Available from: </w:t>
      </w:r>
      <w:hyperlink r:id="rId19">
        <w:r>
          <w:t>https://github.com/RiskLabPSU/baseline-seroprev-public</w:t>
        </w:r>
      </w:hyperlink>
    </w:p>
    <w:p w14:paraId="0E65AFD8" w14:textId="77777777" w:rsidR="00535B97" w:rsidRDefault="00000000">
      <w:bookmarkStart w:id="45" w:name="ref-Longet2023-hk"/>
      <w:bookmarkEnd w:id="44"/>
      <w:r>
        <w:t xml:space="preserve">20. </w:t>
      </w:r>
      <w:r>
        <w:tab/>
        <w:t xml:space="preserve">Longet S, Leggio C, Bore JA, Key S, Tipton T, Hall Y, et al. Influence of landscape patterns on exposure to </w:t>
      </w:r>
      <w:proofErr w:type="spellStart"/>
      <w:r>
        <w:t>lassa</w:t>
      </w:r>
      <w:proofErr w:type="spellEnd"/>
      <w:r>
        <w:t xml:space="preserve"> fever virus, guinea. Emerg Infect Dis. 2023 Feb;29(2):304–13. </w:t>
      </w:r>
    </w:p>
    <w:p w14:paraId="6E17BBA5" w14:textId="77777777" w:rsidR="00535B97" w:rsidRDefault="00000000">
      <w:bookmarkStart w:id="46" w:name="ref-Soubrier2022-gr"/>
      <w:bookmarkEnd w:id="45"/>
      <w:r>
        <w:t xml:space="preserve">21. </w:t>
      </w:r>
      <w:r>
        <w:tab/>
      </w:r>
      <w:proofErr w:type="spellStart"/>
      <w:r>
        <w:t>Soubrier</w:t>
      </w:r>
      <w:proofErr w:type="spellEnd"/>
      <w:r>
        <w:t xml:space="preserve"> H, Bangura U, Hoffmann C, Olayemi A, Adesina AS, Günther S, et al. Detection of </w:t>
      </w:r>
      <w:proofErr w:type="spellStart"/>
      <w:r>
        <w:t>lassa</w:t>
      </w:r>
      <w:proofErr w:type="spellEnd"/>
      <w:r>
        <w:t xml:space="preserve"> virus-reactive IgG antibodies in wild rodents: Validation of a capture enzyme-linked immunological assay. Viruses. 2022 May;14(5):993. </w:t>
      </w:r>
    </w:p>
    <w:p w14:paraId="1F86A267" w14:textId="77777777" w:rsidR="00535B97" w:rsidRDefault="00000000">
      <w:bookmarkStart w:id="47" w:name="ref-R"/>
      <w:bookmarkEnd w:id="46"/>
      <w:r>
        <w:t xml:space="preserve">22. </w:t>
      </w:r>
      <w:r>
        <w:tab/>
        <w:t xml:space="preserve">R Core Team. R: A language and environment for statistical computing [Internet]. Vienna, Austria: R Foundation for Statistical Computing; 2023. Available from: </w:t>
      </w:r>
      <w:hyperlink r:id="rId20">
        <w:r>
          <w:t>https://www.R-project.org/</w:t>
        </w:r>
      </w:hyperlink>
    </w:p>
    <w:p w14:paraId="0B110DD5" w14:textId="77777777" w:rsidR="00535B97" w:rsidRDefault="00000000">
      <w:bookmarkStart w:id="48" w:name="ref-brms"/>
      <w:bookmarkEnd w:id="47"/>
      <w:r>
        <w:t xml:space="preserve">23. </w:t>
      </w:r>
      <w:r>
        <w:tab/>
      </w:r>
      <w:proofErr w:type="spellStart"/>
      <w:r>
        <w:t>Bürkner</w:t>
      </w:r>
      <w:proofErr w:type="spellEnd"/>
      <w:r>
        <w:t xml:space="preserve"> PC. </w:t>
      </w:r>
      <w:hyperlink r:id="rId21">
        <w:r>
          <w:t>brms: An R package for Bayesian multilevel models using Stan</w:t>
        </w:r>
      </w:hyperlink>
      <w:r>
        <w:t xml:space="preserve">. Journal of Statistical Software. 2017;80(1):1–28. </w:t>
      </w:r>
    </w:p>
    <w:p w14:paraId="284C51A3" w14:textId="77777777" w:rsidR="00535B97" w:rsidRDefault="00000000">
      <w:bookmarkStart w:id="49" w:name="ref-spdep"/>
      <w:bookmarkEnd w:id="48"/>
      <w:r>
        <w:t xml:space="preserve">24. </w:t>
      </w:r>
      <w:r>
        <w:tab/>
      </w:r>
      <w:proofErr w:type="spellStart"/>
      <w:r>
        <w:t>Bivand</w:t>
      </w:r>
      <w:proofErr w:type="spellEnd"/>
      <w:r>
        <w:t xml:space="preserve"> R, Wong DWS. </w:t>
      </w:r>
      <w:hyperlink r:id="rId22">
        <w:r>
          <w:t>Comparing implementations of global and local indicators of spatial association</w:t>
        </w:r>
      </w:hyperlink>
      <w:r>
        <w:t xml:space="preserve">. TEST. 2018;27(3):716–48. </w:t>
      </w:r>
    </w:p>
    <w:p w14:paraId="12E4A8F8" w14:textId="77777777" w:rsidR="00535B97" w:rsidRDefault="00000000">
      <w:bookmarkStart w:id="50" w:name="ref-lerchProjectingVaccineDemand2022"/>
      <w:bookmarkEnd w:id="49"/>
      <w:r>
        <w:t xml:space="preserve">25. </w:t>
      </w:r>
      <w:r>
        <w:tab/>
        <w:t xml:space="preserve">Lerch A, Ten Bosch QA, </w:t>
      </w:r>
      <w:proofErr w:type="spellStart"/>
      <w:r>
        <w:t>L’Azou</w:t>
      </w:r>
      <w:proofErr w:type="spellEnd"/>
      <w:r>
        <w:t xml:space="preserve"> Jackson M, Bettis AA, </w:t>
      </w:r>
      <w:proofErr w:type="spellStart"/>
      <w:r>
        <w:t>Bernuzzi</w:t>
      </w:r>
      <w:proofErr w:type="spellEnd"/>
      <w:r>
        <w:t xml:space="preserve"> M, Murphy GAV, et al. </w:t>
      </w:r>
      <w:hyperlink r:id="rId23">
        <w:r>
          <w:t>Projecting vaccine demand and impact for emerging zoonotic pathogens</w:t>
        </w:r>
      </w:hyperlink>
      <w:r>
        <w:t xml:space="preserve">. BMC Medicine. 2022 Dec;20(1):202. </w:t>
      </w:r>
    </w:p>
    <w:p w14:paraId="6932E1E5" w14:textId="77777777" w:rsidR="00535B97" w:rsidRDefault="00000000">
      <w:bookmarkStart w:id="51" w:name="ref-haySerodynamicsPrimerSynthetic2024"/>
      <w:bookmarkEnd w:id="50"/>
      <w:r>
        <w:t xml:space="preserve">26. </w:t>
      </w:r>
      <w:r>
        <w:tab/>
        <w:t xml:space="preserve">Hay JA, Routledge I, Takahashi S. </w:t>
      </w:r>
      <w:hyperlink r:id="rId24">
        <w:proofErr w:type="spellStart"/>
        <w:r>
          <w:t>Serodynamics</w:t>
        </w:r>
        <w:proofErr w:type="spellEnd"/>
        <w:r>
          <w:t>: A primer and synthetic review of methods for epidemiological inference using serological data</w:t>
        </w:r>
      </w:hyperlink>
      <w:r>
        <w:t xml:space="preserve">. Epidemics. 2024 Dec;49:100806. </w:t>
      </w:r>
    </w:p>
    <w:p w14:paraId="60110A0C" w14:textId="77777777" w:rsidR="00535B97" w:rsidRDefault="00000000">
      <w:bookmarkStart w:id="52" w:name="ref-mooreEstimationLassaFever2025"/>
      <w:bookmarkEnd w:id="51"/>
      <w:r>
        <w:t xml:space="preserve">27. </w:t>
      </w:r>
      <w:r>
        <w:tab/>
        <w:t xml:space="preserve">Moore SM, Rapheal E, Mendoza Guerrero S, Dean NE, Stoddard ST. </w:t>
      </w:r>
      <w:hyperlink r:id="rId25">
        <w:r>
          <w:t xml:space="preserve">Estimation of Lassa fever incidence rates in West Africa: Development of a </w:t>
        </w:r>
        <w:proofErr w:type="spellStart"/>
        <w:r>
          <w:t>modeling</w:t>
        </w:r>
        <w:proofErr w:type="spellEnd"/>
        <w:r>
          <w:t xml:space="preserve"> framework to inform vaccine trial design</w:t>
        </w:r>
      </w:hyperlink>
      <w:r>
        <w:t xml:space="preserve">. Wang R, editor. PLOS Neglected Tropical Diseases. 2025 Jul;19(7):e0012751. </w:t>
      </w:r>
    </w:p>
    <w:p w14:paraId="08BB51DE" w14:textId="77777777" w:rsidR="00535B97" w:rsidRDefault="00000000">
      <w:bookmarkStart w:id="53" w:name="ref-ogundeleLassaFeverWest2025"/>
      <w:bookmarkEnd w:id="52"/>
      <w:r>
        <w:lastRenderedPageBreak/>
        <w:t xml:space="preserve">28. </w:t>
      </w:r>
      <w:r>
        <w:tab/>
        <w:t xml:space="preserve">Ogundele GO, </w:t>
      </w:r>
      <w:proofErr w:type="spellStart"/>
      <w:r>
        <w:t>Jolayemi</w:t>
      </w:r>
      <w:proofErr w:type="spellEnd"/>
      <w:r>
        <w:t xml:space="preserve"> KO, Bello S. </w:t>
      </w:r>
      <w:hyperlink r:id="rId26">
        <w:r>
          <w:t>Lassa fever in West Africa: A systematic review and meta-analysis of attack rates, case fatality rates and risk factors</w:t>
        </w:r>
      </w:hyperlink>
      <w:r>
        <w:t xml:space="preserve">. BMC Public Health. 2025 Aug;25(1):2948. </w:t>
      </w:r>
      <w:bookmarkEnd w:id="24"/>
      <w:bookmarkEnd w:id="26"/>
      <w:bookmarkEnd w:id="53"/>
    </w:p>
    <w:sectPr w:rsidR="00535B97" w:rsidSect="0035420C">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0006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8374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B21"/>
    <w:rsid w:val="000B64F2"/>
    <w:rsid w:val="0035420C"/>
    <w:rsid w:val="00502DDE"/>
    <w:rsid w:val="005256E1"/>
    <w:rsid w:val="00535B97"/>
    <w:rsid w:val="006D10F7"/>
    <w:rsid w:val="00854B21"/>
    <w:rsid w:val="00A11EBC"/>
    <w:rsid w:val="00AB4A7F"/>
    <w:rsid w:val="00AF327B"/>
    <w:rsid w:val="00BE2021"/>
    <w:rsid w:val="00C5059C"/>
    <w:rsid w:val="00D404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28AC5"/>
  <w15:docId w15:val="{0013B39F-6D44-4E9A-B51B-A8C15920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B21"/>
    <w:pPr>
      <w:spacing w:before="120" w:after="120" w:line="480" w:lineRule="auto"/>
    </w:pPr>
    <w:rPr>
      <w:rFonts w:ascii="Times New Roman" w:hAnsi="Times New Roman"/>
      <w:sz w:val="24"/>
    </w:rPr>
  </w:style>
  <w:style w:type="paragraph" w:styleId="Heading1">
    <w:name w:val="heading 1"/>
    <w:basedOn w:val="Normal"/>
    <w:next w:val="Normal"/>
    <w:link w:val="Heading1Char"/>
    <w:uiPriority w:val="9"/>
    <w:qFormat/>
    <w:rsid w:val="00854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B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B21"/>
    <w:rPr>
      <w:rFonts w:eastAsiaTheme="majorEastAsia" w:cstheme="majorBidi"/>
      <w:color w:val="272727" w:themeColor="text1" w:themeTint="D8"/>
    </w:rPr>
  </w:style>
  <w:style w:type="paragraph" w:styleId="Title">
    <w:name w:val="Title"/>
    <w:basedOn w:val="Normal"/>
    <w:next w:val="Normal"/>
    <w:link w:val="TitleChar"/>
    <w:uiPriority w:val="10"/>
    <w:qFormat/>
    <w:rsid w:val="00854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B21"/>
    <w:pPr>
      <w:spacing w:before="160"/>
      <w:jc w:val="center"/>
    </w:pPr>
    <w:rPr>
      <w:i/>
      <w:iCs/>
      <w:color w:val="404040" w:themeColor="text1" w:themeTint="BF"/>
    </w:rPr>
  </w:style>
  <w:style w:type="character" w:customStyle="1" w:styleId="QuoteChar">
    <w:name w:val="Quote Char"/>
    <w:basedOn w:val="DefaultParagraphFont"/>
    <w:link w:val="Quote"/>
    <w:uiPriority w:val="29"/>
    <w:rsid w:val="00854B21"/>
    <w:rPr>
      <w:i/>
      <w:iCs/>
      <w:color w:val="404040" w:themeColor="text1" w:themeTint="BF"/>
    </w:rPr>
  </w:style>
  <w:style w:type="paragraph" w:styleId="ListParagraph">
    <w:name w:val="List Paragraph"/>
    <w:basedOn w:val="Normal"/>
    <w:uiPriority w:val="34"/>
    <w:qFormat/>
    <w:rsid w:val="00854B21"/>
    <w:pPr>
      <w:ind w:left="720"/>
      <w:contextualSpacing/>
    </w:pPr>
  </w:style>
  <w:style w:type="character" w:styleId="IntenseEmphasis">
    <w:name w:val="Intense Emphasis"/>
    <w:basedOn w:val="DefaultParagraphFont"/>
    <w:uiPriority w:val="21"/>
    <w:qFormat/>
    <w:rsid w:val="00854B21"/>
    <w:rPr>
      <w:i/>
      <w:iCs/>
      <w:color w:val="2F5496" w:themeColor="accent1" w:themeShade="BF"/>
    </w:rPr>
  </w:style>
  <w:style w:type="paragraph" w:styleId="IntenseQuote">
    <w:name w:val="Intense Quote"/>
    <w:basedOn w:val="Normal"/>
    <w:next w:val="Normal"/>
    <w:link w:val="IntenseQuoteChar"/>
    <w:uiPriority w:val="30"/>
    <w:qFormat/>
    <w:rsid w:val="00854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B21"/>
    <w:rPr>
      <w:i/>
      <w:iCs/>
      <w:color w:val="2F5496" w:themeColor="accent1" w:themeShade="BF"/>
    </w:rPr>
  </w:style>
  <w:style w:type="character" w:styleId="IntenseReference">
    <w:name w:val="Intense Reference"/>
    <w:basedOn w:val="DefaultParagraphFont"/>
    <w:uiPriority w:val="32"/>
    <w:qFormat/>
    <w:rsid w:val="00854B21"/>
    <w:rPr>
      <w:b/>
      <w:bCs/>
      <w:smallCaps/>
      <w:color w:val="2F5496" w:themeColor="accent1" w:themeShade="BF"/>
      <w:spacing w:val="5"/>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character" w:styleId="LineNumber">
    <w:name w:val="line number"/>
    <w:basedOn w:val="DefaultParagraphFont"/>
    <w:uiPriority w:val="99"/>
    <w:semiHidden/>
    <w:unhideWhenUsed/>
    <w:rsid w:val="00354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467-024-53616-4" TargetMode="External"/><Relationship Id="rId13" Type="http://schemas.openxmlformats.org/officeDocument/2006/relationships/hyperlink" Target="https://doi.org/10.3390/biology10010028" TargetMode="External"/><Relationship Id="rId18" Type="http://schemas.openxmlformats.org/officeDocument/2006/relationships/hyperlink" Target="https://ecoevorxiv.org/repository/view/10620/" TargetMode="External"/><Relationship Id="rId26" Type="http://schemas.openxmlformats.org/officeDocument/2006/relationships/hyperlink" Target="https://doi.org/10.1186/s12889-025-24377-6" TargetMode="External"/><Relationship Id="rId3" Type="http://schemas.openxmlformats.org/officeDocument/2006/relationships/settings" Target="settings.xml"/><Relationship Id="rId21" Type="http://schemas.openxmlformats.org/officeDocument/2006/relationships/hyperlink" Target="https://doi.org/10.18637/jss.v080.i01" TargetMode="External"/><Relationship Id="rId7" Type="http://schemas.openxmlformats.org/officeDocument/2006/relationships/hyperlink" Target="https://doi.org/10.1080/22221751.2020.1766381" TargetMode="External"/><Relationship Id="rId12" Type="http://schemas.openxmlformats.org/officeDocument/2006/relationships/hyperlink" Target="https://doi.org/10.1111/2041-210X.12549" TargetMode="External"/><Relationship Id="rId17" Type="http://schemas.openxmlformats.org/officeDocument/2006/relationships/hyperlink" Target="https://academic.oup.com/jid/advance-article/doi/10.1093/infdis/jiaf308/8161380" TargetMode="External"/><Relationship Id="rId25" Type="http://schemas.openxmlformats.org/officeDocument/2006/relationships/hyperlink" Target="https://doi.org/10.1371/journal.pntd.0012751" TargetMode="External"/><Relationship Id="rId2" Type="http://schemas.openxmlformats.org/officeDocument/2006/relationships/styles" Target="styles.xml"/><Relationship Id="rId16" Type="http://schemas.openxmlformats.org/officeDocument/2006/relationships/hyperlink" Target="http://www.nejm.org/doi/10.1056/NEJMoa2501073" TargetMode="External"/><Relationship Id="rId20" Type="http://schemas.openxmlformats.org/officeDocument/2006/relationships/hyperlink" Target="https://www.R-project.org/" TargetMode="External"/><Relationship Id="rId1" Type="http://schemas.openxmlformats.org/officeDocument/2006/relationships/numbering" Target="numbering.xml"/><Relationship Id="rId6" Type="http://schemas.openxmlformats.org/officeDocument/2006/relationships/hyperlink" Target="https://doi.org/10.25225/jvb.20018" TargetMode="External"/><Relationship Id="rId11" Type="http://schemas.openxmlformats.org/officeDocument/2006/relationships/hyperlink" Target="https://doi.org/10.1093/inthealth/ihac076" TargetMode="External"/><Relationship Id="rId24" Type="http://schemas.openxmlformats.org/officeDocument/2006/relationships/hyperlink" Target="https://doi.org/10.1016/j.epidem.2024.100806" TargetMode="External"/><Relationship Id="rId5" Type="http://schemas.openxmlformats.org/officeDocument/2006/relationships/hyperlink" Target="https://doi.org/10.1371/journal.pntd.0010289" TargetMode="External"/><Relationship Id="rId15" Type="http://schemas.openxmlformats.org/officeDocument/2006/relationships/hyperlink" Target="https://doi.org/10.32942/X2N33P" TargetMode="External"/><Relationship Id="rId23" Type="http://schemas.openxmlformats.org/officeDocument/2006/relationships/hyperlink" Target="https://doi.org/10.1186/s12916-022-02405-1" TargetMode="External"/><Relationship Id="rId28" Type="http://schemas.openxmlformats.org/officeDocument/2006/relationships/theme" Target="theme/theme1.xml"/><Relationship Id="rId10" Type="http://schemas.openxmlformats.org/officeDocument/2006/relationships/hyperlink" Target="https://doi.org/10.1089/15303660160025903" TargetMode="External"/><Relationship Id="rId19" Type="http://schemas.openxmlformats.org/officeDocument/2006/relationships/hyperlink" Target="https://github.com/RiskLabPSU/baseline-seroprev-public" TargetMode="External"/><Relationship Id="rId4" Type="http://schemas.openxmlformats.org/officeDocument/2006/relationships/webSettings" Target="webSettings.xml"/><Relationship Id="rId9" Type="http://schemas.openxmlformats.org/officeDocument/2006/relationships/hyperlink" Target="https://doi.org/10.1038/s41597-023-02700-3" TargetMode="External"/><Relationship Id="rId14" Type="http://schemas.openxmlformats.org/officeDocument/2006/relationships/hyperlink" Target="https://doi.org/10.1038/s41467-024-47991-1" TargetMode="External"/><Relationship Id="rId22" Type="http://schemas.openxmlformats.org/officeDocument/2006/relationships/hyperlink" Target="https://doi.org/10.1007/s11749-018-0599-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24</Pages>
  <Words>6341</Words>
  <Characters>36150</Characters>
  <Application>Microsoft Office Word</Application>
  <DocSecurity>0</DocSecurity>
  <Lines>301</Lines>
  <Paragraphs>84</Paragraphs>
  <ScaleCrop>false</ScaleCrop>
  <Company/>
  <LinksUpToDate>false</LinksUpToDate>
  <CharactersWithSpaces>42407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Implications of hyper-local Lassa virus transmission heterogeneity for vaccine trial site selection: a cross-sectional study in Nigeria, 2024</dc:title>
  <dc:creator/>
  <cp:keywords/>
  <cp:lastModifiedBy>David Simons</cp:lastModifiedBy>
  <cp:revision>3</cp:revision>
  <dcterms:created xsi:type="dcterms:W3CDTF">2025-12-18T09:50:00Z</dcterms:created>
  <dcterms:modified xsi:type="dcterms:W3CDTF">2025-12-18T09:56:00Z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eurosurveillance.csl</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