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8CD1" w14:textId="77777777" w:rsidR="004225C6" w:rsidRPr="00DB7173" w:rsidRDefault="004225C6" w:rsidP="00DB7173">
      <w:pPr>
        <w:pStyle w:val="Ttulo"/>
        <w:spacing w:line="276" w:lineRule="auto"/>
        <w:ind w:right="851"/>
        <w:rPr>
          <w:rFonts w:asciiTheme="minorHAnsi" w:hAnsiTheme="minorHAnsi" w:cstheme="minorHAnsi"/>
          <w:sz w:val="22"/>
          <w:szCs w:val="22"/>
        </w:rPr>
      </w:pPr>
      <w:r w:rsidRPr="00DB7173">
        <w:rPr>
          <w:rFonts w:asciiTheme="minorHAnsi" w:hAnsiTheme="minorHAnsi" w:cstheme="minorHAnsi"/>
          <w:sz w:val="22"/>
          <w:szCs w:val="22"/>
        </w:rPr>
        <w:t>ESCUELA DE ADMINISTRACION</w:t>
      </w:r>
    </w:p>
    <w:p w14:paraId="7BFAF122" w14:textId="28761D52" w:rsidR="00AF1217" w:rsidRPr="00DB7173" w:rsidRDefault="00704CF4" w:rsidP="00DB7173">
      <w:pPr>
        <w:pStyle w:val="Ttulo"/>
        <w:spacing w:line="276" w:lineRule="auto"/>
        <w:ind w:right="851"/>
        <w:rPr>
          <w:rFonts w:asciiTheme="minorHAnsi" w:hAnsiTheme="minorHAnsi" w:cstheme="minorHAnsi"/>
          <w:sz w:val="22"/>
          <w:szCs w:val="22"/>
        </w:rPr>
      </w:pPr>
      <w:r w:rsidRPr="00DB7173">
        <w:rPr>
          <w:rFonts w:asciiTheme="minorHAnsi" w:hAnsiTheme="minorHAnsi" w:cstheme="minorHAnsi"/>
          <w:sz w:val="22"/>
          <w:szCs w:val="22"/>
        </w:rPr>
        <w:t>AREA: GESTION DE LA INFORMACIÓN Y RIESGOS</w:t>
      </w:r>
    </w:p>
    <w:p w14:paraId="6501A2EE" w14:textId="4A6D7E4E" w:rsidR="00F01C72" w:rsidRPr="00DB7173" w:rsidRDefault="00704CF4" w:rsidP="00DB7173">
      <w:pPr>
        <w:pStyle w:val="Ttulo"/>
        <w:spacing w:line="276" w:lineRule="auto"/>
        <w:ind w:right="851"/>
        <w:rPr>
          <w:rFonts w:asciiTheme="minorHAnsi" w:hAnsiTheme="minorHAnsi" w:cstheme="minorHAnsi"/>
          <w:sz w:val="22"/>
          <w:szCs w:val="22"/>
        </w:rPr>
      </w:pPr>
      <w:r w:rsidRPr="00DB7173">
        <w:rPr>
          <w:rFonts w:asciiTheme="minorHAnsi" w:hAnsiTheme="minorHAnsi" w:cstheme="minorHAnsi"/>
          <w:sz w:val="22"/>
          <w:szCs w:val="22"/>
        </w:rPr>
        <w:t xml:space="preserve">MAESTRÍA / </w:t>
      </w:r>
      <w:r w:rsidR="00B52284" w:rsidRPr="00DB7173">
        <w:rPr>
          <w:rFonts w:asciiTheme="minorHAnsi" w:hAnsiTheme="minorHAnsi" w:cstheme="minorHAnsi"/>
          <w:sz w:val="22"/>
          <w:szCs w:val="22"/>
        </w:rPr>
        <w:t>ESPECIALIZACION</w:t>
      </w:r>
      <w:r w:rsidR="0040255F" w:rsidRPr="00DB7173">
        <w:rPr>
          <w:rFonts w:asciiTheme="minorHAnsi" w:hAnsiTheme="minorHAnsi" w:cstheme="minorHAnsi"/>
          <w:sz w:val="22"/>
          <w:szCs w:val="22"/>
        </w:rPr>
        <w:t xml:space="preserve"> EN </w:t>
      </w:r>
      <w:r w:rsidR="004225C6" w:rsidRPr="00DB7173">
        <w:rPr>
          <w:rFonts w:asciiTheme="minorHAnsi" w:hAnsiTheme="minorHAnsi" w:cstheme="minorHAnsi"/>
          <w:sz w:val="22"/>
          <w:szCs w:val="22"/>
        </w:rPr>
        <w:t>GERENCIA DE PROYECTOS</w:t>
      </w:r>
    </w:p>
    <w:p w14:paraId="0AD46ECA" w14:textId="77777777" w:rsidR="00F01C72" w:rsidRPr="00DB7173" w:rsidRDefault="00B52284" w:rsidP="00DB7173">
      <w:pPr>
        <w:pStyle w:val="Ttulo"/>
        <w:spacing w:line="276" w:lineRule="auto"/>
        <w:ind w:right="851"/>
        <w:rPr>
          <w:rFonts w:asciiTheme="minorHAnsi" w:hAnsiTheme="minorHAnsi" w:cstheme="minorHAnsi"/>
          <w:sz w:val="22"/>
          <w:szCs w:val="22"/>
        </w:rPr>
      </w:pPr>
      <w:r w:rsidRPr="00DB7173">
        <w:rPr>
          <w:rFonts w:asciiTheme="minorHAnsi" w:hAnsiTheme="minorHAnsi" w:cstheme="minorHAnsi"/>
          <w:sz w:val="22"/>
          <w:szCs w:val="22"/>
        </w:rPr>
        <w:t>PROGRAMA</w:t>
      </w:r>
    </w:p>
    <w:p w14:paraId="12AAE532" w14:textId="77777777"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b w:val="0"/>
          <w:snapToGrid w:val="0"/>
          <w:sz w:val="22"/>
          <w:szCs w:val="22"/>
        </w:rPr>
      </w:pPr>
      <w:r w:rsidRPr="00DB7173">
        <w:rPr>
          <w:rFonts w:asciiTheme="minorHAnsi" w:hAnsiTheme="minorHAnsi" w:cstheme="minorHAnsi"/>
          <w:b w:val="0"/>
          <w:snapToGrid w:val="0"/>
          <w:sz w:val="22"/>
          <w:szCs w:val="22"/>
        </w:rPr>
        <w:tab/>
      </w:r>
    </w:p>
    <w:p w14:paraId="41277047" w14:textId="77777777"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ASIGNATURA</w:t>
      </w:r>
      <w:r w:rsidRPr="00DB7173">
        <w:rPr>
          <w:rFonts w:asciiTheme="minorHAnsi" w:hAnsiTheme="minorHAnsi" w:cstheme="minorHAnsi"/>
          <w:snapToGrid w:val="0"/>
          <w:sz w:val="22"/>
          <w:szCs w:val="22"/>
        </w:rPr>
        <w:tab/>
        <w:t>:</w:t>
      </w:r>
      <w:r w:rsidRPr="00DB7173">
        <w:rPr>
          <w:rFonts w:asciiTheme="minorHAnsi" w:hAnsiTheme="minorHAnsi" w:cstheme="minorHAnsi"/>
          <w:snapToGrid w:val="0"/>
          <w:sz w:val="22"/>
          <w:szCs w:val="22"/>
        </w:rPr>
        <w:tab/>
      </w:r>
      <w:r w:rsidR="008F2A92" w:rsidRPr="00DB7173">
        <w:rPr>
          <w:rFonts w:asciiTheme="minorHAnsi" w:hAnsiTheme="minorHAnsi" w:cstheme="minorHAnsi"/>
          <w:snapToGrid w:val="0"/>
          <w:sz w:val="22"/>
          <w:szCs w:val="22"/>
        </w:rPr>
        <w:t xml:space="preserve">Análisis de Riesgos </w:t>
      </w:r>
    </w:p>
    <w:p w14:paraId="210B27B7" w14:textId="5256874A"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CÓDIGO</w:t>
      </w:r>
      <w:r w:rsidRPr="00DB7173">
        <w:rPr>
          <w:rFonts w:asciiTheme="minorHAnsi" w:hAnsiTheme="minorHAnsi" w:cstheme="minorHAnsi"/>
          <w:snapToGrid w:val="0"/>
          <w:sz w:val="22"/>
          <w:szCs w:val="22"/>
        </w:rPr>
        <w:tab/>
        <w:t>:</w:t>
      </w:r>
      <w:r w:rsidRPr="00DB7173">
        <w:rPr>
          <w:rFonts w:asciiTheme="minorHAnsi" w:hAnsiTheme="minorHAnsi" w:cstheme="minorHAnsi"/>
          <w:snapToGrid w:val="0"/>
          <w:sz w:val="22"/>
          <w:szCs w:val="22"/>
        </w:rPr>
        <w:tab/>
      </w:r>
      <w:r w:rsidR="00535EB3" w:rsidRPr="00DB7173">
        <w:rPr>
          <w:rFonts w:asciiTheme="minorHAnsi" w:hAnsiTheme="minorHAnsi" w:cstheme="minorHAnsi"/>
          <w:snapToGrid w:val="0"/>
          <w:sz w:val="22"/>
          <w:szCs w:val="22"/>
        </w:rPr>
        <w:t>OG</w:t>
      </w:r>
      <w:r w:rsidR="001F5C6B" w:rsidRPr="00DB7173">
        <w:rPr>
          <w:rFonts w:asciiTheme="minorHAnsi" w:hAnsiTheme="minorHAnsi" w:cstheme="minorHAnsi"/>
          <w:snapToGrid w:val="0"/>
          <w:sz w:val="22"/>
          <w:szCs w:val="22"/>
        </w:rPr>
        <w:t>1223</w:t>
      </w:r>
    </w:p>
    <w:p w14:paraId="43FF5BBD" w14:textId="456014E3"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VIGENCIA</w:t>
      </w:r>
      <w:r w:rsidR="00D86763" w:rsidRPr="00DB7173">
        <w:rPr>
          <w:rFonts w:asciiTheme="minorHAnsi" w:hAnsiTheme="minorHAnsi" w:cstheme="minorHAnsi"/>
          <w:snapToGrid w:val="0"/>
          <w:sz w:val="22"/>
          <w:szCs w:val="22"/>
        </w:rPr>
        <w:t xml:space="preserve"> DESDE</w:t>
      </w:r>
      <w:r w:rsidR="004D17FA" w:rsidRPr="00DB7173">
        <w:rPr>
          <w:rFonts w:asciiTheme="minorHAnsi" w:hAnsiTheme="minorHAnsi" w:cstheme="minorHAnsi"/>
          <w:snapToGrid w:val="0"/>
          <w:sz w:val="22"/>
          <w:szCs w:val="22"/>
        </w:rPr>
        <w:tab/>
      </w:r>
      <w:r w:rsidR="004E7143" w:rsidRPr="00DB7173">
        <w:rPr>
          <w:rFonts w:asciiTheme="minorHAnsi" w:hAnsiTheme="minorHAnsi" w:cstheme="minorHAnsi"/>
          <w:snapToGrid w:val="0"/>
          <w:sz w:val="22"/>
          <w:szCs w:val="22"/>
        </w:rPr>
        <w:t>:</w:t>
      </w:r>
      <w:r w:rsidR="004D17FA" w:rsidRPr="00DB7173">
        <w:rPr>
          <w:rFonts w:asciiTheme="minorHAnsi" w:hAnsiTheme="minorHAnsi" w:cstheme="minorHAnsi"/>
          <w:snapToGrid w:val="0"/>
          <w:sz w:val="22"/>
          <w:szCs w:val="22"/>
        </w:rPr>
        <w:tab/>
      </w:r>
      <w:r w:rsidR="004E7143" w:rsidRPr="00DB7173">
        <w:rPr>
          <w:rFonts w:asciiTheme="minorHAnsi" w:hAnsiTheme="minorHAnsi" w:cstheme="minorHAnsi"/>
          <w:snapToGrid w:val="0"/>
          <w:sz w:val="22"/>
          <w:szCs w:val="22"/>
        </w:rPr>
        <w:t>20</w:t>
      </w:r>
      <w:r w:rsidR="00BC3DAD" w:rsidRPr="00DB7173">
        <w:rPr>
          <w:rFonts w:asciiTheme="minorHAnsi" w:hAnsiTheme="minorHAnsi" w:cstheme="minorHAnsi"/>
          <w:snapToGrid w:val="0"/>
          <w:sz w:val="22"/>
          <w:szCs w:val="22"/>
        </w:rPr>
        <w:t>2</w:t>
      </w:r>
      <w:r w:rsidR="00873DF1" w:rsidRPr="00DB7173">
        <w:rPr>
          <w:rFonts w:asciiTheme="minorHAnsi" w:hAnsiTheme="minorHAnsi" w:cstheme="minorHAnsi"/>
          <w:snapToGrid w:val="0"/>
          <w:sz w:val="22"/>
          <w:szCs w:val="22"/>
        </w:rPr>
        <w:t>2</w:t>
      </w:r>
      <w:r w:rsidR="004E7143" w:rsidRPr="00DB7173">
        <w:rPr>
          <w:rFonts w:asciiTheme="minorHAnsi" w:hAnsiTheme="minorHAnsi" w:cstheme="minorHAnsi"/>
          <w:snapToGrid w:val="0"/>
          <w:sz w:val="22"/>
          <w:szCs w:val="22"/>
        </w:rPr>
        <w:t xml:space="preserve"> - </w:t>
      </w:r>
      <w:r w:rsidR="00873DF1" w:rsidRPr="00DB7173">
        <w:rPr>
          <w:rFonts w:asciiTheme="minorHAnsi" w:hAnsiTheme="minorHAnsi" w:cstheme="minorHAnsi"/>
          <w:snapToGrid w:val="0"/>
          <w:sz w:val="22"/>
          <w:szCs w:val="22"/>
        </w:rPr>
        <w:t>2</w:t>
      </w:r>
      <w:r w:rsidRPr="00DB7173">
        <w:rPr>
          <w:rFonts w:asciiTheme="minorHAnsi" w:hAnsiTheme="minorHAnsi" w:cstheme="minorHAnsi"/>
          <w:snapToGrid w:val="0"/>
          <w:sz w:val="22"/>
          <w:szCs w:val="22"/>
        </w:rPr>
        <w:t xml:space="preserve"> </w:t>
      </w:r>
    </w:p>
    <w:p w14:paraId="366F4DB5" w14:textId="77777777"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INTENSIDAD</w:t>
      </w:r>
      <w:r w:rsidR="00D86763" w:rsidRPr="00DB7173">
        <w:rPr>
          <w:rFonts w:asciiTheme="minorHAnsi" w:hAnsiTheme="minorHAnsi" w:cstheme="minorHAnsi"/>
          <w:snapToGrid w:val="0"/>
          <w:sz w:val="22"/>
          <w:szCs w:val="22"/>
        </w:rPr>
        <w:t xml:space="preserve"> HORARIA</w:t>
      </w:r>
      <w:r w:rsidR="004D17FA" w:rsidRPr="00DB7173">
        <w:rPr>
          <w:rFonts w:asciiTheme="minorHAnsi" w:hAnsiTheme="minorHAnsi" w:cstheme="minorHAnsi"/>
          <w:snapToGrid w:val="0"/>
          <w:sz w:val="22"/>
          <w:szCs w:val="22"/>
        </w:rPr>
        <w:tab/>
        <w:t>:</w:t>
      </w:r>
      <w:r w:rsidR="004D17FA" w:rsidRPr="00DB7173">
        <w:rPr>
          <w:rFonts w:asciiTheme="minorHAnsi" w:hAnsiTheme="minorHAnsi" w:cstheme="minorHAnsi"/>
          <w:snapToGrid w:val="0"/>
          <w:sz w:val="22"/>
          <w:szCs w:val="22"/>
        </w:rPr>
        <w:tab/>
      </w:r>
      <w:r w:rsidR="00B52284" w:rsidRPr="00DB7173">
        <w:rPr>
          <w:rFonts w:asciiTheme="minorHAnsi" w:hAnsiTheme="minorHAnsi" w:cstheme="minorHAnsi"/>
          <w:snapToGrid w:val="0"/>
          <w:sz w:val="22"/>
          <w:szCs w:val="22"/>
        </w:rPr>
        <w:t xml:space="preserve">8 </w:t>
      </w:r>
      <w:r w:rsidRPr="00DB7173">
        <w:rPr>
          <w:rFonts w:asciiTheme="minorHAnsi" w:hAnsiTheme="minorHAnsi" w:cstheme="minorHAnsi"/>
          <w:snapToGrid w:val="0"/>
          <w:sz w:val="22"/>
          <w:szCs w:val="22"/>
        </w:rPr>
        <w:t>horas semanales</w:t>
      </w:r>
      <w:r w:rsidR="0040255F" w:rsidRPr="00DB7173">
        <w:rPr>
          <w:rFonts w:asciiTheme="minorHAnsi" w:hAnsiTheme="minorHAnsi" w:cstheme="minorHAnsi"/>
          <w:snapToGrid w:val="0"/>
          <w:sz w:val="22"/>
          <w:szCs w:val="22"/>
        </w:rPr>
        <w:t xml:space="preserve"> – </w:t>
      </w:r>
      <w:r w:rsidR="00B52284" w:rsidRPr="00DB7173">
        <w:rPr>
          <w:rFonts w:asciiTheme="minorHAnsi" w:hAnsiTheme="minorHAnsi" w:cstheme="minorHAnsi"/>
          <w:snapToGrid w:val="0"/>
          <w:sz w:val="22"/>
          <w:szCs w:val="22"/>
        </w:rPr>
        <w:t>32</w:t>
      </w:r>
      <w:r w:rsidR="0040255F" w:rsidRPr="00DB7173">
        <w:rPr>
          <w:rFonts w:asciiTheme="minorHAnsi" w:hAnsiTheme="minorHAnsi" w:cstheme="minorHAnsi"/>
          <w:snapToGrid w:val="0"/>
          <w:sz w:val="22"/>
          <w:szCs w:val="22"/>
        </w:rPr>
        <w:t xml:space="preserve"> </w:t>
      </w:r>
      <w:r w:rsidR="00B52284" w:rsidRPr="00DB7173">
        <w:rPr>
          <w:rFonts w:asciiTheme="minorHAnsi" w:hAnsiTheme="minorHAnsi" w:cstheme="minorHAnsi"/>
          <w:snapToGrid w:val="0"/>
          <w:sz w:val="22"/>
          <w:szCs w:val="22"/>
        </w:rPr>
        <w:t>MODULO</w:t>
      </w:r>
    </w:p>
    <w:p w14:paraId="6704EFBE" w14:textId="77777777"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MODALIDAD</w:t>
      </w:r>
      <w:r w:rsidRPr="00DB7173">
        <w:rPr>
          <w:rFonts w:asciiTheme="minorHAnsi" w:hAnsiTheme="minorHAnsi" w:cstheme="minorHAnsi"/>
          <w:snapToGrid w:val="0"/>
          <w:sz w:val="22"/>
          <w:szCs w:val="22"/>
        </w:rPr>
        <w:tab/>
        <w:t>:</w:t>
      </w:r>
      <w:r w:rsidRPr="00DB7173">
        <w:rPr>
          <w:rFonts w:asciiTheme="minorHAnsi" w:hAnsiTheme="minorHAnsi" w:cstheme="minorHAnsi"/>
          <w:snapToGrid w:val="0"/>
          <w:sz w:val="22"/>
          <w:szCs w:val="22"/>
        </w:rPr>
        <w:tab/>
        <w:t>Magistral</w:t>
      </w:r>
    </w:p>
    <w:p w14:paraId="436E47CE" w14:textId="77777777" w:rsidR="00AF1217" w:rsidRPr="00DB7173" w:rsidRDefault="00AF1217"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CARACTERISTICA</w:t>
      </w:r>
      <w:r w:rsidRPr="00DB7173">
        <w:rPr>
          <w:rFonts w:asciiTheme="minorHAnsi" w:hAnsiTheme="minorHAnsi" w:cstheme="minorHAnsi"/>
          <w:snapToGrid w:val="0"/>
          <w:sz w:val="22"/>
          <w:szCs w:val="22"/>
        </w:rPr>
        <w:tab/>
        <w:t>:</w:t>
      </w:r>
      <w:r w:rsidRPr="00DB7173">
        <w:rPr>
          <w:rFonts w:asciiTheme="minorHAnsi" w:hAnsiTheme="minorHAnsi" w:cstheme="minorHAnsi"/>
          <w:snapToGrid w:val="0"/>
          <w:sz w:val="22"/>
          <w:szCs w:val="22"/>
        </w:rPr>
        <w:tab/>
        <w:t>No Suficientable</w:t>
      </w:r>
    </w:p>
    <w:p w14:paraId="5C01BB80" w14:textId="35029240" w:rsidR="00BC3DAD" w:rsidRPr="00DB7173" w:rsidRDefault="00D86763"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FECHA ACTUALIZAC</w:t>
      </w:r>
      <w:r w:rsidR="00535EB3" w:rsidRPr="00DB7173">
        <w:rPr>
          <w:rFonts w:asciiTheme="minorHAnsi" w:hAnsiTheme="minorHAnsi" w:cstheme="minorHAnsi"/>
          <w:snapToGrid w:val="0"/>
          <w:sz w:val="22"/>
          <w:szCs w:val="22"/>
        </w:rPr>
        <w:t>ION</w:t>
      </w:r>
      <w:r w:rsidR="004E7143" w:rsidRPr="00DB7173">
        <w:rPr>
          <w:rFonts w:asciiTheme="minorHAnsi" w:hAnsiTheme="minorHAnsi" w:cstheme="minorHAnsi"/>
          <w:snapToGrid w:val="0"/>
          <w:sz w:val="22"/>
          <w:szCs w:val="22"/>
        </w:rPr>
        <w:tab/>
      </w:r>
      <w:r w:rsidR="004D17FA" w:rsidRPr="00DB7173">
        <w:rPr>
          <w:rFonts w:asciiTheme="minorHAnsi" w:hAnsiTheme="minorHAnsi" w:cstheme="minorHAnsi"/>
          <w:snapToGrid w:val="0"/>
          <w:sz w:val="22"/>
          <w:szCs w:val="22"/>
        </w:rPr>
        <w:t>:</w:t>
      </w:r>
      <w:r w:rsidR="004D17FA" w:rsidRPr="00DB7173">
        <w:rPr>
          <w:rFonts w:asciiTheme="minorHAnsi" w:hAnsiTheme="minorHAnsi" w:cstheme="minorHAnsi"/>
          <w:snapToGrid w:val="0"/>
          <w:sz w:val="22"/>
          <w:szCs w:val="22"/>
        </w:rPr>
        <w:tab/>
      </w:r>
      <w:r w:rsidR="00DB7173" w:rsidRPr="00DB7173">
        <w:rPr>
          <w:rFonts w:asciiTheme="minorHAnsi" w:hAnsiTheme="minorHAnsi" w:cstheme="minorHAnsi"/>
          <w:snapToGrid w:val="0"/>
          <w:sz w:val="22"/>
          <w:szCs w:val="22"/>
        </w:rPr>
        <w:t>septiembre 2026</w:t>
      </w:r>
    </w:p>
    <w:p w14:paraId="4CC0D0DD" w14:textId="39EFE3B0" w:rsidR="001D7458" w:rsidRPr="00DB7173" w:rsidRDefault="001D7458" w:rsidP="00DB7173">
      <w:pPr>
        <w:pStyle w:val="Ttulo1"/>
        <w:numPr>
          <w:ilvl w:val="0"/>
          <w:numId w:val="0"/>
        </w:numPr>
        <w:tabs>
          <w:tab w:val="left" w:pos="2835"/>
          <w:tab w:val="left" w:pos="3402"/>
        </w:tabs>
        <w:spacing w:line="276" w:lineRule="auto"/>
        <w:ind w:right="851"/>
        <w:rPr>
          <w:rFonts w:asciiTheme="minorHAnsi" w:hAnsiTheme="minorHAnsi" w:cstheme="minorHAnsi"/>
          <w:snapToGrid w:val="0"/>
          <w:sz w:val="22"/>
          <w:szCs w:val="22"/>
        </w:rPr>
      </w:pPr>
      <w:r w:rsidRPr="00DB7173">
        <w:rPr>
          <w:rFonts w:asciiTheme="minorHAnsi" w:hAnsiTheme="minorHAnsi" w:cstheme="minorHAnsi"/>
          <w:snapToGrid w:val="0"/>
          <w:sz w:val="22"/>
          <w:szCs w:val="22"/>
        </w:rPr>
        <w:t>PROFESOR</w:t>
      </w:r>
      <w:r w:rsidRPr="00DB7173">
        <w:rPr>
          <w:rFonts w:asciiTheme="minorHAnsi" w:hAnsiTheme="minorHAnsi" w:cstheme="minorHAnsi"/>
          <w:snapToGrid w:val="0"/>
          <w:sz w:val="22"/>
          <w:szCs w:val="22"/>
        </w:rPr>
        <w:tab/>
        <w:t>:</w:t>
      </w:r>
      <w:r w:rsidRPr="00DB7173">
        <w:rPr>
          <w:rFonts w:asciiTheme="minorHAnsi" w:hAnsiTheme="minorHAnsi" w:cstheme="minorHAnsi"/>
          <w:snapToGrid w:val="0"/>
          <w:sz w:val="22"/>
          <w:szCs w:val="22"/>
        </w:rPr>
        <w:tab/>
        <w:t>Elkin A</w:t>
      </w:r>
      <w:r w:rsidR="001F5C6B" w:rsidRPr="00DB7173">
        <w:rPr>
          <w:rFonts w:asciiTheme="minorHAnsi" w:hAnsiTheme="minorHAnsi" w:cstheme="minorHAnsi"/>
          <w:snapToGrid w:val="0"/>
          <w:sz w:val="22"/>
          <w:szCs w:val="22"/>
        </w:rPr>
        <w:t>rcesio Gómez Salazar</w:t>
      </w:r>
      <w:r w:rsidRPr="00DB7173">
        <w:rPr>
          <w:rFonts w:asciiTheme="minorHAnsi" w:hAnsiTheme="minorHAnsi" w:cstheme="minorHAnsi"/>
          <w:snapToGrid w:val="0"/>
          <w:sz w:val="22"/>
          <w:szCs w:val="22"/>
        </w:rPr>
        <w:t xml:space="preserve"> </w:t>
      </w:r>
    </w:p>
    <w:p w14:paraId="1C198CEC" w14:textId="77777777" w:rsidR="00AF1217" w:rsidRPr="00DB7173" w:rsidRDefault="00AF1217" w:rsidP="00DB7173">
      <w:pPr>
        <w:pStyle w:val="Ttulo"/>
        <w:pBdr>
          <w:bottom w:val="double" w:sz="6" w:space="1" w:color="auto"/>
        </w:pBdr>
        <w:spacing w:line="276" w:lineRule="auto"/>
        <w:ind w:right="851"/>
        <w:jc w:val="both"/>
        <w:rPr>
          <w:rFonts w:asciiTheme="minorHAnsi" w:hAnsiTheme="minorHAnsi" w:cstheme="minorHAnsi"/>
          <w:b w:val="0"/>
          <w:sz w:val="22"/>
          <w:szCs w:val="22"/>
        </w:rPr>
      </w:pPr>
    </w:p>
    <w:p w14:paraId="1B3FFD06" w14:textId="77777777" w:rsidR="00AF1217" w:rsidRPr="00DB7173" w:rsidRDefault="00AF1217" w:rsidP="00DB7173">
      <w:pPr>
        <w:spacing w:line="276" w:lineRule="auto"/>
        <w:ind w:right="851"/>
        <w:jc w:val="both"/>
        <w:rPr>
          <w:rFonts w:asciiTheme="minorHAnsi" w:hAnsiTheme="minorHAnsi" w:cstheme="minorHAnsi"/>
          <w:sz w:val="22"/>
          <w:szCs w:val="22"/>
        </w:rPr>
      </w:pPr>
    </w:p>
    <w:p w14:paraId="00DA8701" w14:textId="77777777" w:rsidR="00AF1217" w:rsidRPr="00DB7173" w:rsidRDefault="00AF1217" w:rsidP="00DB7173">
      <w:pPr>
        <w:numPr>
          <w:ilvl w:val="0"/>
          <w:numId w:val="2"/>
        </w:numPr>
        <w:spacing w:line="276" w:lineRule="auto"/>
        <w:ind w:right="851"/>
        <w:jc w:val="both"/>
        <w:rPr>
          <w:rFonts w:asciiTheme="minorHAnsi" w:hAnsiTheme="minorHAnsi" w:cstheme="minorHAnsi"/>
          <w:b/>
          <w:sz w:val="22"/>
          <w:szCs w:val="22"/>
        </w:rPr>
      </w:pPr>
      <w:r w:rsidRPr="00DB7173">
        <w:rPr>
          <w:rFonts w:asciiTheme="minorHAnsi" w:hAnsiTheme="minorHAnsi" w:cstheme="minorHAnsi"/>
          <w:b/>
          <w:sz w:val="22"/>
          <w:szCs w:val="22"/>
        </w:rPr>
        <w:t>JUSTIFICACION CURSO:</w:t>
      </w:r>
    </w:p>
    <w:p w14:paraId="5A79F133" w14:textId="77777777" w:rsidR="004D17FA" w:rsidRPr="00DB7173" w:rsidRDefault="004D17FA" w:rsidP="00DB7173">
      <w:pPr>
        <w:spacing w:line="276" w:lineRule="auto"/>
        <w:ind w:left="360" w:right="851"/>
        <w:jc w:val="both"/>
        <w:rPr>
          <w:rFonts w:asciiTheme="minorHAnsi" w:hAnsiTheme="minorHAnsi" w:cstheme="minorHAnsi"/>
          <w:b/>
          <w:sz w:val="22"/>
          <w:szCs w:val="22"/>
        </w:rPr>
      </w:pPr>
    </w:p>
    <w:p w14:paraId="13272871" w14:textId="77777777" w:rsidR="005720D8" w:rsidRPr="00DB7173" w:rsidRDefault="005720D8"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 xml:space="preserve">El manejo del riesgo reviste de gran importancia en la gerencia de proyectos, a lo largo de sus procesos y operaciones abundan los riesgos y las incertidumbres, en </w:t>
      </w:r>
      <w:r w:rsidR="00535EB3" w:rsidRPr="00DB7173">
        <w:rPr>
          <w:rFonts w:asciiTheme="minorHAnsi" w:hAnsiTheme="minorHAnsi" w:cstheme="minorHAnsi"/>
          <w:color w:val="000000"/>
          <w:sz w:val="22"/>
        </w:rPr>
        <w:t>consecuencia,</w:t>
      </w:r>
      <w:r w:rsidRPr="00DB7173">
        <w:rPr>
          <w:rFonts w:asciiTheme="minorHAnsi" w:hAnsiTheme="minorHAnsi" w:cstheme="minorHAnsi"/>
          <w:color w:val="000000"/>
          <w:sz w:val="22"/>
        </w:rPr>
        <w:t xml:space="preserve"> los proyectos requieren utilizar enfoques sofisticados para la evaluación de los riesgos. </w:t>
      </w:r>
    </w:p>
    <w:p w14:paraId="4A1EA9FF" w14:textId="260BEA3B" w:rsidR="00704CF4" w:rsidRPr="00DB7173" w:rsidRDefault="005720D8"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En el inicio de un proyecto se toman decisiones de gran envergadura, complejas y de altos costos, el mejor sistema para la toma de decisiones es aquel donde se identifica el problema, se manejan las incertidumbres y se desarrollan soluciones más poderosas y a menudo hibridas y equilibra el riesgo con respecto al valor agregado.</w:t>
      </w:r>
    </w:p>
    <w:p w14:paraId="46FA09E7" w14:textId="77777777" w:rsidR="00704CF4" w:rsidRPr="00DB7173" w:rsidRDefault="00704CF4"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 xml:space="preserve">En el contexto de una maestría en gerencia de proyectos, el análisis de riesgos deja de ser una técnica instrumental y se convierte en un componente estratégico de la formación avanzada. El profesional de nivel de maestría no solo aplica herramientas de identificación y cuantificación, sino que diseña, evalúa y defiende sistemas de gestión del riesgo alineados con la estrategia organizacional, con marcos de referencia como el PMBOK del Project Management </w:t>
      </w:r>
      <w:proofErr w:type="spellStart"/>
      <w:r w:rsidRPr="00DB7173">
        <w:rPr>
          <w:rFonts w:asciiTheme="minorHAnsi" w:hAnsiTheme="minorHAnsi" w:cstheme="minorHAnsi"/>
          <w:color w:val="000000"/>
          <w:sz w:val="22"/>
        </w:rPr>
        <w:t>Institute</w:t>
      </w:r>
      <w:proofErr w:type="spellEnd"/>
      <w:r w:rsidRPr="00DB7173">
        <w:rPr>
          <w:rFonts w:asciiTheme="minorHAnsi" w:hAnsiTheme="minorHAnsi" w:cstheme="minorHAnsi"/>
          <w:color w:val="000000"/>
          <w:sz w:val="22"/>
        </w:rPr>
        <w:t>, la norma ISO 31000 y las metodologías de evaluación de proyectos de organismos multilaterales.</w:t>
      </w:r>
    </w:p>
    <w:p w14:paraId="10D66158" w14:textId="77777777" w:rsidR="00704CF4" w:rsidRPr="00DB7173" w:rsidRDefault="00704CF4"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 xml:space="preserve">El curso responde, en consecuencia, a tres exigencias propias del nivel de maestría. Primero, el rigor metodológico: el estudiante debe dominar el fundamento estadístico y probabilístico que soporta la modelación de la incertidumbre, de modo que sus estimaciones sean replicables, auditables y sustentables ante juntas directivas, inversionistas y entes de control. Segundo, la capacidad de integración: el riesgo se analiza de manera transversal a los costos, el cronograma, el alcance, la financiación y el entorno regulatorio del proyecto, y no como un capítulo aislado de la evaluación financiera. Tercero, la orientación a la decisión: el propósito último del análisis no es producir </w:t>
      </w:r>
      <w:r w:rsidRPr="00DB7173">
        <w:rPr>
          <w:rFonts w:asciiTheme="minorHAnsi" w:hAnsiTheme="minorHAnsi" w:cstheme="minorHAnsi"/>
          <w:color w:val="000000"/>
          <w:sz w:val="22"/>
        </w:rPr>
        <w:lastRenderedPageBreak/>
        <w:t>indicadores, sino mejorar la calidad de las decisiones de inversión en condiciones de información incompleta.</w:t>
      </w:r>
    </w:p>
    <w:p w14:paraId="6047401B" w14:textId="0391F0FA" w:rsidR="005720D8" w:rsidRPr="00DB7173" w:rsidRDefault="00704CF4"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Adicionalmente, el manejo de técnicas de simulación y de software especializado desarrolla competencias directamente transferibles al ejercicio profesional y al trabajo de investigación aplicada propio de la maestría, en particular para la formulación de trabajos de grado que requieran modelar escenarios, valorar flexibilidad y cuantificar la exposición al riesgo de portafolios de proyectos. De este modo, el curso aporta al perfil de egreso de un gerente de proyectos capaz de anticipar contingencias, definir respuestas costo-eficientes y equilibrar el riesgo asumido frente al valor agregado esperado por la organización.</w:t>
      </w:r>
    </w:p>
    <w:p w14:paraId="28732979" w14:textId="77777777" w:rsidR="00AF1217" w:rsidRPr="00DB7173" w:rsidRDefault="00AF1217" w:rsidP="00DB7173">
      <w:pPr>
        <w:spacing w:line="276" w:lineRule="auto"/>
        <w:ind w:right="851"/>
        <w:jc w:val="both"/>
        <w:rPr>
          <w:rFonts w:asciiTheme="minorHAnsi" w:hAnsiTheme="minorHAnsi" w:cstheme="minorHAnsi"/>
          <w:sz w:val="22"/>
          <w:szCs w:val="22"/>
        </w:rPr>
      </w:pPr>
    </w:p>
    <w:p w14:paraId="650ABC61" w14:textId="77777777" w:rsidR="00AF1217" w:rsidRPr="00DB7173" w:rsidRDefault="00AF1217" w:rsidP="00DB7173">
      <w:pPr>
        <w:numPr>
          <w:ilvl w:val="0"/>
          <w:numId w:val="2"/>
        </w:numPr>
        <w:spacing w:line="276" w:lineRule="auto"/>
        <w:ind w:right="851"/>
        <w:jc w:val="both"/>
        <w:rPr>
          <w:rFonts w:asciiTheme="minorHAnsi" w:hAnsiTheme="minorHAnsi" w:cstheme="minorHAnsi"/>
          <w:b/>
          <w:sz w:val="22"/>
          <w:szCs w:val="22"/>
        </w:rPr>
      </w:pPr>
      <w:r w:rsidRPr="00DB7173">
        <w:rPr>
          <w:rFonts w:asciiTheme="minorHAnsi" w:hAnsiTheme="minorHAnsi" w:cstheme="minorHAnsi"/>
          <w:b/>
          <w:sz w:val="22"/>
          <w:szCs w:val="22"/>
        </w:rPr>
        <w:t>OBJETIVO (s) GENERALES DEL CURSO:</w:t>
      </w:r>
    </w:p>
    <w:p w14:paraId="67E9C2A2" w14:textId="77777777" w:rsidR="00AC1120" w:rsidRPr="00DB7173" w:rsidRDefault="00AC1120" w:rsidP="00DB7173">
      <w:pPr>
        <w:pStyle w:val="Textoindependiente2"/>
        <w:spacing w:line="276" w:lineRule="auto"/>
        <w:ind w:right="851"/>
        <w:jc w:val="both"/>
        <w:rPr>
          <w:rFonts w:asciiTheme="minorHAnsi" w:hAnsiTheme="minorHAnsi" w:cstheme="minorHAnsi"/>
          <w:sz w:val="22"/>
          <w:szCs w:val="22"/>
        </w:rPr>
      </w:pPr>
    </w:p>
    <w:p w14:paraId="4827CD13" w14:textId="46878001" w:rsidR="00704CF4" w:rsidRPr="00DB7173" w:rsidRDefault="005720D8" w:rsidP="00DB7173">
      <w:pPr>
        <w:pStyle w:val="NormalWeb"/>
        <w:spacing w:line="276" w:lineRule="auto"/>
        <w:ind w:right="851"/>
        <w:jc w:val="both"/>
        <w:rPr>
          <w:rFonts w:asciiTheme="minorHAnsi" w:hAnsiTheme="minorHAnsi" w:cstheme="minorHAnsi"/>
          <w:sz w:val="22"/>
          <w:szCs w:val="22"/>
        </w:rPr>
      </w:pPr>
      <w:r w:rsidRPr="00DB7173">
        <w:rPr>
          <w:rFonts w:asciiTheme="minorHAnsi" w:hAnsiTheme="minorHAnsi" w:cstheme="minorHAnsi"/>
          <w:sz w:val="22"/>
          <w:szCs w:val="22"/>
        </w:rPr>
        <w:t xml:space="preserve">Aplicar los conceptos básicos de estadística, probabilidad, riesgo e incertidumbre en el análisis de la evaluación financiera de proyectos, como factor fundamental para el manejo de los procesos de toma de decisiones en ambiente de incertidumbre, </w:t>
      </w:r>
      <w:r w:rsidR="00704CF4" w:rsidRPr="00DB7173">
        <w:rPr>
          <w:rFonts w:asciiTheme="minorHAnsi" w:hAnsiTheme="minorHAnsi" w:cstheme="minorHAnsi"/>
          <w:sz w:val="22"/>
          <w:szCs w:val="22"/>
        </w:rPr>
        <w:t>al objeto de</w:t>
      </w:r>
      <w:r w:rsidRPr="00DB7173">
        <w:rPr>
          <w:rFonts w:asciiTheme="minorHAnsi" w:hAnsiTheme="minorHAnsi" w:cstheme="minorHAnsi"/>
          <w:sz w:val="22"/>
          <w:szCs w:val="22"/>
        </w:rPr>
        <w:t xml:space="preserve"> incorporar estos en la solución de problemas cotidianos y de aplicación profesional.</w:t>
      </w:r>
    </w:p>
    <w:p w14:paraId="1C9921CC" w14:textId="77777777" w:rsidR="00704CF4" w:rsidRPr="00DB7173" w:rsidRDefault="00704CF4"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En el nivel de maestría, este objetivo general se extiende más allá de la aplicación de conceptos: se orienta a que el estudiante sea capaz de formular, modelar y evaluar críticamente el riesgo de proyectos e inversiones, integrando el análisis cuantitativo con la decisión gerencial y con la estrategia de la organización, y sustentando técnicamente sus recomendaciones ante instancias directivas, financiadores y entes de control.</w:t>
      </w:r>
    </w:p>
    <w:p w14:paraId="3DA89F5D" w14:textId="77777777" w:rsidR="00704CF4" w:rsidRPr="00DB7173" w:rsidRDefault="00704CF4" w:rsidP="00DB7173">
      <w:pPr>
        <w:pStyle w:val="NormalWeb"/>
        <w:spacing w:line="276" w:lineRule="auto"/>
        <w:ind w:right="851"/>
        <w:jc w:val="both"/>
        <w:rPr>
          <w:rFonts w:asciiTheme="minorHAnsi" w:hAnsiTheme="minorHAnsi" w:cstheme="minorHAnsi"/>
          <w:b/>
          <w:color w:val="000000"/>
          <w:sz w:val="22"/>
        </w:rPr>
      </w:pPr>
      <w:r w:rsidRPr="00DB7173">
        <w:rPr>
          <w:rFonts w:asciiTheme="minorHAnsi" w:hAnsiTheme="minorHAnsi" w:cstheme="minorHAnsi"/>
          <w:b/>
          <w:color w:val="000000"/>
          <w:sz w:val="22"/>
        </w:rPr>
        <w:t>Objetivos específicos:</w:t>
      </w:r>
    </w:p>
    <w:p w14:paraId="7874E0F7" w14:textId="77777777" w:rsidR="00704CF4" w:rsidRPr="00DB7173" w:rsidRDefault="00704CF4" w:rsidP="00DB7173">
      <w:pPr>
        <w:pStyle w:val="NormalWeb"/>
        <w:numPr>
          <w:ilvl w:val="0"/>
          <w:numId w:val="15"/>
        </w:numPr>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Diseñar el proceso de gestión del riesgo de un proyecto conforme a marcos de referencia reconocidos (PMBOK del PMI, ISO 31000 y metodologías de evaluación de proyectos de organismos multilaterales), adaptándolo al sector y a la madurez organizacional.</w:t>
      </w:r>
    </w:p>
    <w:p w14:paraId="51829795" w14:textId="77777777" w:rsidR="00704CF4" w:rsidRPr="00DB7173" w:rsidRDefault="00704CF4" w:rsidP="00DB7173">
      <w:pPr>
        <w:pStyle w:val="NormalWeb"/>
        <w:numPr>
          <w:ilvl w:val="0"/>
          <w:numId w:val="15"/>
        </w:numPr>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Seleccionar y justificar las distribuciones de probabilidad y los modelos de pronóstico apropiados para representar las variables críticas de un proyecto, con pruebas de bondad de ajuste y supuestos explícitos.</w:t>
      </w:r>
    </w:p>
    <w:p w14:paraId="7F7BE07E" w14:textId="77777777" w:rsidR="00704CF4" w:rsidRPr="00DB7173" w:rsidRDefault="00704CF4" w:rsidP="00DB7173">
      <w:pPr>
        <w:pStyle w:val="NormalWeb"/>
        <w:numPr>
          <w:ilvl w:val="0"/>
          <w:numId w:val="15"/>
        </w:numPr>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Construir modelos de simulación de flujos de caja y evaluar su sensibilidad mediante análisis probabilístico, gráficos de tornado, araña y Pareto, identificando los factores que concentran la exposición al riesgo.</w:t>
      </w:r>
    </w:p>
    <w:p w14:paraId="2D934B62" w14:textId="77777777" w:rsidR="00704CF4" w:rsidRPr="00DB7173" w:rsidRDefault="00704CF4" w:rsidP="00DB7173">
      <w:pPr>
        <w:pStyle w:val="NormalWeb"/>
        <w:numPr>
          <w:ilvl w:val="0"/>
          <w:numId w:val="15"/>
        </w:numPr>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Formular y valorar estrategias de respuesta al riesgo —evitar, transferir, mitigar, aceptar— comparando su costo frente al valor esperado que protegen.</w:t>
      </w:r>
    </w:p>
    <w:p w14:paraId="0DDCA230" w14:textId="5B3223C6" w:rsidR="005720D8" w:rsidRPr="00DB7173" w:rsidRDefault="00704CF4" w:rsidP="00DB7173">
      <w:pPr>
        <w:pStyle w:val="NormalWeb"/>
        <w:spacing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lastRenderedPageBreak/>
        <w:t>Comunicar los resultados del análisis en informes y sustentaciones de nivel profesional y académico, con el rigor metodológico exigible en el trabajo de investigación aplicada y en el trabajo de grado de la maestría.</w:t>
      </w:r>
    </w:p>
    <w:p w14:paraId="6446BD0A" w14:textId="77777777" w:rsidR="005720D8" w:rsidRPr="00DB7173" w:rsidRDefault="005720D8" w:rsidP="00DB7173">
      <w:pPr>
        <w:pStyle w:val="Textoindependiente2"/>
        <w:spacing w:line="276" w:lineRule="auto"/>
        <w:ind w:right="851"/>
        <w:jc w:val="both"/>
        <w:rPr>
          <w:rFonts w:asciiTheme="minorHAnsi" w:hAnsiTheme="minorHAnsi" w:cstheme="minorHAnsi"/>
          <w:sz w:val="22"/>
          <w:szCs w:val="22"/>
        </w:rPr>
      </w:pPr>
    </w:p>
    <w:p w14:paraId="08CF0BEB" w14:textId="77777777" w:rsidR="00AF1217" w:rsidRPr="00DB7173" w:rsidRDefault="00AF1217" w:rsidP="00DB7173">
      <w:pPr>
        <w:spacing w:line="276" w:lineRule="auto"/>
        <w:ind w:right="851"/>
        <w:jc w:val="both"/>
        <w:rPr>
          <w:rFonts w:asciiTheme="minorHAnsi" w:hAnsiTheme="minorHAnsi" w:cstheme="minorHAnsi"/>
          <w:sz w:val="22"/>
          <w:szCs w:val="22"/>
        </w:rPr>
      </w:pPr>
    </w:p>
    <w:p w14:paraId="0A08DD56" w14:textId="77777777" w:rsidR="00AF1217" w:rsidRPr="00DB7173" w:rsidRDefault="00AF1217" w:rsidP="00DB7173">
      <w:pPr>
        <w:numPr>
          <w:ilvl w:val="0"/>
          <w:numId w:val="2"/>
        </w:numPr>
        <w:spacing w:line="276" w:lineRule="auto"/>
        <w:ind w:right="851"/>
        <w:jc w:val="both"/>
        <w:rPr>
          <w:rFonts w:asciiTheme="minorHAnsi" w:hAnsiTheme="minorHAnsi" w:cstheme="minorHAnsi"/>
          <w:b/>
          <w:sz w:val="22"/>
          <w:szCs w:val="22"/>
        </w:rPr>
      </w:pPr>
      <w:r w:rsidRPr="00DB7173">
        <w:rPr>
          <w:rFonts w:asciiTheme="minorHAnsi" w:hAnsiTheme="minorHAnsi" w:cstheme="minorHAnsi"/>
          <w:b/>
          <w:sz w:val="22"/>
          <w:szCs w:val="22"/>
        </w:rPr>
        <w:t xml:space="preserve">DESCRIPCION ANALITICA DE CONTENIDOS: </w:t>
      </w:r>
    </w:p>
    <w:p w14:paraId="111FF11B" w14:textId="77777777" w:rsidR="00ED75FD" w:rsidRPr="00DB7173" w:rsidRDefault="00ED75FD" w:rsidP="00DB7173">
      <w:pPr>
        <w:widowControl w:val="0"/>
        <w:spacing w:line="276" w:lineRule="auto"/>
        <w:ind w:right="851"/>
        <w:jc w:val="both"/>
        <w:rPr>
          <w:rFonts w:asciiTheme="minorHAnsi" w:hAnsiTheme="minorHAnsi" w:cstheme="minorHAnsi"/>
          <w:b/>
          <w:snapToGrid w:val="0"/>
          <w:sz w:val="22"/>
          <w:szCs w:val="22"/>
        </w:rPr>
      </w:pPr>
    </w:p>
    <w:p w14:paraId="4F2BD644" w14:textId="2A3E74B8" w:rsidR="00704CF4" w:rsidRPr="00DB7173" w:rsidRDefault="00704CF4" w:rsidP="00DB7173">
      <w:pPr>
        <w:widowControl w:val="0"/>
        <w:spacing w:line="276" w:lineRule="auto"/>
        <w:ind w:right="851"/>
        <w:jc w:val="both"/>
        <w:rPr>
          <w:rFonts w:asciiTheme="minorHAnsi" w:hAnsiTheme="minorHAnsi" w:cstheme="minorHAnsi"/>
          <w:b/>
          <w:snapToGrid w:val="0"/>
          <w:sz w:val="22"/>
          <w:szCs w:val="22"/>
        </w:rPr>
      </w:pPr>
      <w:r w:rsidRPr="00DB7173">
        <w:rPr>
          <w:rFonts w:asciiTheme="minorHAnsi" w:hAnsiTheme="minorHAnsi" w:cstheme="minorHAnsi"/>
          <w:b/>
          <w:snapToGrid w:val="0"/>
          <w:sz w:val="22"/>
          <w:szCs w:val="22"/>
        </w:rPr>
        <w:t>Módulo</w:t>
      </w:r>
      <w:r w:rsidR="0018648D" w:rsidRPr="00DB7173">
        <w:rPr>
          <w:rFonts w:asciiTheme="minorHAnsi" w:hAnsiTheme="minorHAnsi" w:cstheme="minorHAnsi"/>
          <w:b/>
          <w:snapToGrid w:val="0"/>
          <w:sz w:val="22"/>
          <w:szCs w:val="22"/>
        </w:rPr>
        <w:t xml:space="preserve"> 1: </w:t>
      </w:r>
      <w:r w:rsidR="00ED75FD" w:rsidRPr="00DB7173">
        <w:rPr>
          <w:rFonts w:asciiTheme="minorHAnsi" w:hAnsiTheme="minorHAnsi" w:cstheme="minorHAnsi"/>
          <w:b/>
          <w:snapToGrid w:val="0"/>
          <w:sz w:val="22"/>
          <w:szCs w:val="22"/>
        </w:rPr>
        <w:t xml:space="preserve">Introducción </w:t>
      </w:r>
    </w:p>
    <w:p w14:paraId="11714984" w14:textId="245E428D" w:rsidR="00ED75FD" w:rsidRPr="00DB7173" w:rsidRDefault="00704CF4" w:rsidP="00DB7173">
      <w:pPr>
        <w:spacing w:after="200"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Este módulo establece el lenguaje común del curso: distingue conceptualmente certeza, incertidumbre y riesgo, revisa el origen y la evolución del análisis del riesgo, e identifica los factores que lo generan en el ciclo de vida de un proyecto. Se contrastan las metodologías ONUDI y PMI en la identificación de riesgos, de modo que el estudiante comprenda el marco institucional y metodológico sobre el cual se apoyarán los desarrollos cuantitativos posteriores.</w:t>
      </w:r>
    </w:p>
    <w:p w14:paraId="421E02FA" w14:textId="457631E8" w:rsidR="00535EB3" w:rsidRPr="00DB7173" w:rsidRDefault="00535EB3" w:rsidP="00DB7173">
      <w:pPr>
        <w:pStyle w:val="Prrafodelista"/>
        <w:numPr>
          <w:ilvl w:val="0"/>
          <w:numId w:val="11"/>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Concepto de riesgo, origen e historia</w:t>
      </w:r>
      <w:r w:rsidR="00704CF4" w:rsidRPr="00DB7173">
        <w:rPr>
          <w:rFonts w:asciiTheme="minorHAnsi" w:hAnsiTheme="minorHAnsi" w:cstheme="minorHAnsi"/>
          <w:color w:val="000000"/>
          <w:sz w:val="22"/>
          <w:szCs w:val="22"/>
          <w:lang w:val="es-MX"/>
        </w:rPr>
        <w:t xml:space="preserve"> — noción de riesgo y evolución histórica de su medición, desde los juegos de azar hasta la gestión moderna de proyectos.</w:t>
      </w:r>
    </w:p>
    <w:p w14:paraId="1465093D" w14:textId="62655F94" w:rsidR="00535EB3" w:rsidRPr="00DB7173" w:rsidRDefault="00535EB3" w:rsidP="00DB7173">
      <w:pPr>
        <w:pStyle w:val="Prrafodelista"/>
        <w:numPr>
          <w:ilvl w:val="0"/>
          <w:numId w:val="11"/>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Incertidumbre, Certeza, Riesgo</w:t>
      </w:r>
      <w:r w:rsidR="00704CF4" w:rsidRPr="00DB7173">
        <w:rPr>
          <w:rFonts w:asciiTheme="minorHAnsi" w:hAnsiTheme="minorHAnsi" w:cstheme="minorHAnsi"/>
          <w:color w:val="000000"/>
          <w:sz w:val="22"/>
          <w:szCs w:val="22"/>
          <w:lang w:val="es-MX"/>
        </w:rPr>
        <w:t xml:space="preserve"> — diferencia entre saber el resultado, desconocerlo sin probabilidades y poder asignarle una distribución.</w:t>
      </w:r>
    </w:p>
    <w:p w14:paraId="03202987" w14:textId="6610A9D9" w:rsidR="00535EB3" w:rsidRPr="00DB7173" w:rsidRDefault="00535EB3" w:rsidP="00DB7173">
      <w:pPr>
        <w:pStyle w:val="Prrafodelista"/>
        <w:numPr>
          <w:ilvl w:val="0"/>
          <w:numId w:val="11"/>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Conceptos básicos de proyectos y su relación con los riesgos</w:t>
      </w:r>
      <w:r w:rsidR="00704CF4" w:rsidRPr="00DB7173">
        <w:rPr>
          <w:rFonts w:asciiTheme="minorHAnsi" w:hAnsiTheme="minorHAnsi" w:cstheme="minorHAnsi"/>
          <w:color w:val="000000"/>
          <w:sz w:val="22"/>
          <w:szCs w:val="22"/>
          <w:lang w:val="es-MX"/>
        </w:rPr>
        <w:t xml:space="preserve"> — cómo el alcance, el tiempo, el costo y la calidad determinan dónde se origina la exposición al riesgo.</w:t>
      </w:r>
    </w:p>
    <w:p w14:paraId="03E5D4A6" w14:textId="7ABF3E8F" w:rsidR="00ED75FD" w:rsidRPr="00DB7173" w:rsidRDefault="00704CF4" w:rsidP="00DB7173">
      <w:pPr>
        <w:pStyle w:val="Prrafodelista"/>
        <w:numPr>
          <w:ilvl w:val="0"/>
          <w:numId w:val="11"/>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 xml:space="preserve">Factores que generan riesgo en un proyecto — </w:t>
      </w:r>
      <w:r w:rsidRPr="00DB7173">
        <w:rPr>
          <w:rFonts w:asciiTheme="minorHAnsi" w:hAnsiTheme="minorHAnsi" w:cstheme="minorHAnsi"/>
          <w:color w:val="000000"/>
          <w:sz w:val="22"/>
          <w:szCs w:val="22"/>
          <w:lang w:val="es-MX"/>
        </w:rPr>
        <w:t>fuentes internas y externas: mercado, tecnología, financiación, entorno regulatorio, capacidad organizacional.</w:t>
      </w:r>
    </w:p>
    <w:p w14:paraId="3FCD3401" w14:textId="3EBF7052" w:rsidR="001F5C6B" w:rsidRPr="00DB7173" w:rsidRDefault="00535EB3" w:rsidP="00DB7173">
      <w:pPr>
        <w:pStyle w:val="Prrafodelista"/>
        <w:numPr>
          <w:ilvl w:val="0"/>
          <w:numId w:val="11"/>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sz w:val="22"/>
          <w:szCs w:val="22"/>
          <w:lang w:val="es-MX"/>
        </w:rPr>
        <w:t xml:space="preserve">Metodologías ONUDI y PMI en la identificación de </w:t>
      </w:r>
      <w:r w:rsidR="001F5C6B" w:rsidRPr="00DB7173">
        <w:rPr>
          <w:rFonts w:asciiTheme="minorHAnsi" w:hAnsiTheme="minorHAnsi" w:cstheme="minorHAnsi"/>
          <w:sz w:val="22"/>
          <w:szCs w:val="22"/>
          <w:lang w:val="es-MX"/>
        </w:rPr>
        <w:t xml:space="preserve">riesgos </w:t>
      </w:r>
      <w:r w:rsidR="001F5C6B" w:rsidRPr="00DB7173">
        <w:rPr>
          <w:rFonts w:asciiTheme="minorHAnsi" w:hAnsiTheme="minorHAnsi" w:cstheme="minorHAnsi"/>
          <w:color w:val="000000"/>
          <w:sz w:val="22"/>
          <w:szCs w:val="22"/>
          <w:lang w:val="es-MX"/>
        </w:rPr>
        <w:t>—</w:t>
      </w:r>
      <w:r w:rsidR="00704CF4" w:rsidRPr="00DB7173">
        <w:rPr>
          <w:rFonts w:asciiTheme="minorHAnsi" w:hAnsiTheme="minorHAnsi" w:cstheme="minorHAnsi"/>
          <w:color w:val="000000"/>
          <w:sz w:val="22"/>
          <w:szCs w:val="22"/>
          <w:lang w:val="es-MX"/>
        </w:rPr>
        <w:t xml:space="preserve"> comparación de ambos marcos y criterios para elegir el más adecuado según el tipo de proyecto.</w:t>
      </w:r>
    </w:p>
    <w:p w14:paraId="4001D40E" w14:textId="57C7D0A5" w:rsidR="001F5C6B" w:rsidRPr="00DB7173" w:rsidRDefault="001F5C6B" w:rsidP="00DB7173">
      <w:pPr>
        <w:spacing w:before="160" w:after="120" w:line="276" w:lineRule="auto"/>
        <w:ind w:right="851"/>
        <w:jc w:val="center"/>
        <w:rPr>
          <w:rFonts w:asciiTheme="minorHAnsi" w:hAnsiTheme="minorHAnsi" w:cstheme="minorHAnsi"/>
          <w:b/>
          <w:color w:val="000000"/>
          <w:sz w:val="20"/>
        </w:rPr>
      </w:pPr>
      <w:r w:rsidRPr="00DB7173">
        <w:rPr>
          <w:rFonts w:asciiTheme="minorHAnsi" w:hAnsiTheme="minorHAnsi" w:cstheme="minorHAnsi"/>
          <w:b/>
          <w:color w:val="000000"/>
          <w:sz w:val="20"/>
        </w:rPr>
        <w:t>Figura 1. Proceso de desarrollo del Módulo 1</w:t>
      </w:r>
      <w:r w:rsidRPr="00DB7173">
        <w:rPr>
          <w:rFonts w:asciiTheme="minorHAnsi" w:hAnsiTheme="minorHAnsi" w:cstheme="minorHAnsi"/>
          <w:noProof/>
        </w:rPr>
        <mc:AlternateContent>
          <mc:Choice Requires="wpg">
            <w:drawing>
              <wp:inline distT="0" distB="0" distL="0" distR="0" wp14:anchorId="18482E40" wp14:editId="242319C1">
                <wp:extent cx="5943600" cy="508000"/>
                <wp:effectExtent l="0" t="0" r="0" b="0"/>
                <wp:docPr id="522987450" name="Figura"/>
                <wp:cNvGraphicFramePr/>
                <a:graphic xmlns:a="http://schemas.openxmlformats.org/drawingml/2006/main">
                  <a:graphicData uri="http://schemas.microsoft.com/office/word/2010/wordprocessingGroup">
                    <wpg:wgp>
                      <wpg:cNvGrpSpPr/>
                      <wpg:grpSpPr>
                        <a:xfrm>
                          <a:off x="0" y="0"/>
                          <a:ext cx="5943600" cy="508000"/>
                          <a:chOff x="0" y="0"/>
                          <a:chExt cx="5943600" cy="508000"/>
                        </a:xfrm>
                      </wpg:grpSpPr>
                      <wps:wsp>
                        <wps:cNvPr id="117737000" name="B2"/>
                        <wps:cNvSpPr/>
                        <wps:spPr>
                          <a:xfrm>
                            <a:off x="0" y="0"/>
                            <a:ext cx="1219200" cy="508000"/>
                          </a:xfrm>
                          <a:prstGeom prst="roundRect">
                            <a:avLst/>
                          </a:prstGeom>
                          <a:solidFill>
                            <a:srgbClr val="DEEAF6"/>
                          </a:solidFill>
                          <a:ln w="12700">
                            <a:solidFill>
                              <a:srgbClr val="2E74B5"/>
                            </a:solidFill>
                          </a:ln>
                        </wps:spPr>
                        <wps:txbx>
                          <w:txbxContent>
                            <w:p w14:paraId="2CE63214" w14:textId="77777777" w:rsidR="001F5C6B" w:rsidRDefault="001F5C6B">
                              <w:pPr>
                                <w:jc w:val="center"/>
                              </w:pPr>
                              <w:r>
                                <w:rPr>
                                  <w:color w:val="1F1F1F"/>
                                  <w:sz w:val="16"/>
                                </w:rPr>
                                <w:t>Marco conceptual del riesgo</w:t>
                              </w:r>
                            </w:p>
                          </w:txbxContent>
                        </wps:txbx>
                        <wps:bodyPr lIns="36576" tIns="18288" rIns="36576" bIns="18288" anchor="ctr">
                          <a:noAutofit/>
                        </wps:bodyPr>
                      </wps:wsp>
                      <wps:wsp>
                        <wps:cNvPr id="1056485772" name="A3"/>
                        <wps:cNvSpPr/>
                        <wps:spPr>
                          <a:xfrm>
                            <a:off x="1270000" y="165100"/>
                            <a:ext cx="254000" cy="177800"/>
                          </a:xfrm>
                          <a:prstGeom prst="rightArrow">
                            <a:avLst/>
                          </a:prstGeom>
                          <a:solidFill>
                            <a:srgbClr val="8EAADB"/>
                          </a:solidFill>
                          <a:ln>
                            <a:noFill/>
                          </a:ln>
                        </wps:spPr>
                        <wps:bodyPr/>
                      </wps:wsp>
                      <wps:wsp>
                        <wps:cNvPr id="993067178" name="B4"/>
                        <wps:cNvSpPr/>
                        <wps:spPr>
                          <a:xfrm>
                            <a:off x="1574800" y="0"/>
                            <a:ext cx="1219200" cy="508000"/>
                          </a:xfrm>
                          <a:prstGeom prst="roundRect">
                            <a:avLst/>
                          </a:prstGeom>
                          <a:solidFill>
                            <a:srgbClr val="DEEAF6"/>
                          </a:solidFill>
                          <a:ln w="12700">
                            <a:solidFill>
                              <a:srgbClr val="2E74B5"/>
                            </a:solidFill>
                          </a:ln>
                        </wps:spPr>
                        <wps:txbx>
                          <w:txbxContent>
                            <w:p w14:paraId="47D320F8" w14:textId="77777777" w:rsidR="001F5C6B" w:rsidRDefault="001F5C6B">
                              <w:pPr>
                                <w:jc w:val="center"/>
                              </w:pPr>
                              <w:r>
                                <w:rPr>
                                  <w:color w:val="1F1F1F"/>
                                  <w:sz w:val="16"/>
                                </w:rPr>
                                <w:t>Riesgos en el ciclo de vida</w:t>
                              </w:r>
                            </w:p>
                          </w:txbxContent>
                        </wps:txbx>
                        <wps:bodyPr lIns="36576" tIns="18288" rIns="36576" bIns="18288" anchor="ctr">
                          <a:noAutofit/>
                        </wps:bodyPr>
                      </wps:wsp>
                      <wps:wsp>
                        <wps:cNvPr id="756985264" name="A5"/>
                        <wps:cNvSpPr/>
                        <wps:spPr>
                          <a:xfrm>
                            <a:off x="2844800" y="165100"/>
                            <a:ext cx="254000" cy="177800"/>
                          </a:xfrm>
                          <a:prstGeom prst="rightArrow">
                            <a:avLst/>
                          </a:prstGeom>
                          <a:solidFill>
                            <a:srgbClr val="8EAADB"/>
                          </a:solidFill>
                          <a:ln>
                            <a:noFill/>
                          </a:ln>
                        </wps:spPr>
                        <wps:bodyPr/>
                      </wps:wsp>
                      <wps:wsp>
                        <wps:cNvPr id="168202402" name="B6"/>
                        <wps:cNvSpPr/>
                        <wps:spPr>
                          <a:xfrm>
                            <a:off x="3149600" y="0"/>
                            <a:ext cx="1219200" cy="508000"/>
                          </a:xfrm>
                          <a:prstGeom prst="roundRect">
                            <a:avLst/>
                          </a:prstGeom>
                          <a:solidFill>
                            <a:srgbClr val="DEEAF6"/>
                          </a:solidFill>
                          <a:ln w="12700">
                            <a:solidFill>
                              <a:srgbClr val="2E74B5"/>
                            </a:solidFill>
                          </a:ln>
                        </wps:spPr>
                        <wps:txbx>
                          <w:txbxContent>
                            <w:p w14:paraId="0BDB9D61" w14:textId="77777777" w:rsidR="001F5C6B" w:rsidRDefault="001F5C6B">
                              <w:pPr>
                                <w:jc w:val="center"/>
                              </w:pPr>
                              <w:r>
                                <w:rPr>
                                  <w:color w:val="1F1F1F"/>
                                  <w:sz w:val="16"/>
                                </w:rPr>
                                <w:t>ONUDI vs. PMI</w:t>
                              </w:r>
                            </w:p>
                          </w:txbxContent>
                        </wps:txbx>
                        <wps:bodyPr lIns="36576" tIns="18288" rIns="36576" bIns="18288" anchor="ctr">
                          <a:noAutofit/>
                        </wps:bodyPr>
                      </wps:wsp>
                      <wps:wsp>
                        <wps:cNvPr id="139397870" name="A7"/>
                        <wps:cNvSpPr/>
                        <wps:spPr>
                          <a:xfrm>
                            <a:off x="4419600" y="165100"/>
                            <a:ext cx="254000" cy="177800"/>
                          </a:xfrm>
                          <a:prstGeom prst="rightArrow">
                            <a:avLst/>
                          </a:prstGeom>
                          <a:solidFill>
                            <a:srgbClr val="8EAADB"/>
                          </a:solidFill>
                          <a:ln>
                            <a:noFill/>
                          </a:ln>
                        </wps:spPr>
                        <wps:bodyPr/>
                      </wps:wsp>
                      <wps:wsp>
                        <wps:cNvPr id="2017086327" name="B8"/>
                        <wps:cNvSpPr/>
                        <wps:spPr>
                          <a:xfrm>
                            <a:off x="4724400" y="0"/>
                            <a:ext cx="1219200" cy="508000"/>
                          </a:xfrm>
                          <a:prstGeom prst="roundRect">
                            <a:avLst/>
                          </a:prstGeom>
                          <a:solidFill>
                            <a:srgbClr val="DEEAF6"/>
                          </a:solidFill>
                          <a:ln w="12700">
                            <a:solidFill>
                              <a:srgbClr val="2E74B5"/>
                            </a:solidFill>
                          </a:ln>
                        </wps:spPr>
                        <wps:txbx>
                          <w:txbxContent>
                            <w:p w14:paraId="1582C130" w14:textId="77777777" w:rsidR="001F5C6B" w:rsidRDefault="001F5C6B">
                              <w:pPr>
                                <w:jc w:val="center"/>
                              </w:pPr>
                              <w:r>
                                <w:rPr>
                                  <w:color w:val="1F1F1F"/>
                                  <w:sz w:val="16"/>
                                </w:rPr>
                                <w:t>Registro de riesgos</w:t>
                              </w:r>
                            </w:p>
                          </w:txbxContent>
                        </wps:txbx>
                        <wps:bodyPr lIns="36576" tIns="18288" rIns="36576" bIns="18288" anchor="ctr">
                          <a:noAutofit/>
                        </wps:bodyPr>
                      </wps:wsp>
                    </wpg:wgp>
                  </a:graphicData>
                </a:graphic>
              </wp:inline>
            </w:drawing>
          </mc:Choice>
          <mc:Fallback>
            <w:pict>
              <v:group w14:anchorId="18482E40" id="Figura" o:spid="_x0000_s1026" style="width:468pt;height:40pt;mso-position-horizontal-relative:char;mso-position-vertical-relative:line" coordsize="59436,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">
                <v:roundrect id="B2" o:spid="_x0000_s1027" style="position:absolute;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" fillcolor="#deeaf6" strokecolor="#2e74b5" strokeweight="1pt">
                  <v:textbox inset="2.88pt,1.44pt,2.88pt,1.44pt">
                    <w:txbxContent>
                      <w:p w14:paraId="2CE63214" w14:textId="77777777" w:rsidR="001F5C6B" w:rsidRDefault="001F5C6B">
                        <w:pPr>
                          <w:jc w:val="center"/>
                        </w:pPr>
                        <w:r>
                          <w:rPr>
                            <w:color w:val="1F1F1F"/>
                            <w:sz w:val="16"/>
                          </w:rPr>
                          <w:t>Marco conceptual del riesgo</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3" o:spid="_x0000_s1028" type="#_x0000_t13" style="position:absolute;left:12700;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" adj="14040" fillcolor="#8eaadb" stroked="f"/>
                <v:roundrect id="B4" o:spid="_x0000_s1029" style="position:absolute;left:15748;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" fillcolor="#deeaf6" strokecolor="#2e74b5" strokeweight="1pt">
                  <v:textbox inset="2.88pt,1.44pt,2.88pt,1.44pt">
                    <w:txbxContent>
                      <w:p w14:paraId="47D320F8" w14:textId="77777777" w:rsidR="001F5C6B" w:rsidRDefault="001F5C6B">
                        <w:pPr>
                          <w:jc w:val="center"/>
                        </w:pPr>
                        <w:r>
                          <w:rPr>
                            <w:color w:val="1F1F1F"/>
                            <w:sz w:val="16"/>
                          </w:rPr>
                          <w:t>Riesgos en el ciclo de vida</w:t>
                        </w:r>
                      </w:p>
                    </w:txbxContent>
                  </v:textbox>
                </v:roundrect>
                <v:shape id="A5" o:spid="_x0000_s1030" type="#_x0000_t13" style="position:absolute;left:28448;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" adj="14040" fillcolor="#8eaadb" stroked="f"/>
                <v:roundrect id="B6" o:spid="_x0000_s1031" style="position:absolute;left:31496;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" fillcolor="#deeaf6" strokecolor="#2e74b5" strokeweight="1pt">
                  <v:textbox inset="2.88pt,1.44pt,2.88pt,1.44pt">
                    <w:txbxContent>
                      <w:p w14:paraId="0BDB9D61" w14:textId="77777777" w:rsidR="001F5C6B" w:rsidRDefault="001F5C6B">
                        <w:pPr>
                          <w:jc w:val="center"/>
                        </w:pPr>
                        <w:r>
                          <w:rPr>
                            <w:color w:val="1F1F1F"/>
                            <w:sz w:val="16"/>
                          </w:rPr>
                          <w:t>ONUDI vs. PMI</w:t>
                        </w:r>
                      </w:p>
                    </w:txbxContent>
                  </v:textbox>
                </v:roundrect>
                <v:shape id="A7" o:spid="_x0000_s1032" type="#_x0000_t13" style="position:absolute;left:44196;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" adj="14040" fillcolor="#8eaadb" stroked="f"/>
                <v:roundrect id="B8" o:spid="_x0000_s1033" style="position:absolute;left:47244;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" fillcolor="#deeaf6" strokecolor="#2e74b5" strokeweight="1pt">
                  <v:textbox inset="2.88pt,1.44pt,2.88pt,1.44pt">
                    <w:txbxContent>
                      <w:p w14:paraId="1582C130" w14:textId="77777777" w:rsidR="001F5C6B" w:rsidRDefault="001F5C6B">
                        <w:pPr>
                          <w:jc w:val="center"/>
                        </w:pPr>
                        <w:r>
                          <w:rPr>
                            <w:color w:val="1F1F1F"/>
                            <w:sz w:val="16"/>
                          </w:rPr>
                          <w:t>Registro de riesgos</w:t>
                        </w:r>
                      </w:p>
                    </w:txbxContent>
                  </v:textbox>
                </v:roundrect>
                <w10:anchorlock/>
              </v:group>
            </w:pict>
          </mc:Fallback>
        </mc:AlternateContent>
      </w:r>
    </w:p>
    <w:p w14:paraId="55B82A45" w14:textId="77777777" w:rsidR="00704CF4" w:rsidRPr="00DB7173" w:rsidRDefault="00ED75FD" w:rsidP="00DB7173">
      <w:pPr>
        <w:pStyle w:val="Ttulo1"/>
        <w:numPr>
          <w:ilvl w:val="0"/>
          <w:numId w:val="0"/>
        </w:numPr>
        <w:spacing w:line="276" w:lineRule="auto"/>
        <w:ind w:left="360" w:right="851" w:hanging="360"/>
        <w:rPr>
          <w:rFonts w:asciiTheme="minorHAnsi" w:hAnsiTheme="minorHAnsi" w:cstheme="minorHAnsi"/>
          <w:bCs/>
          <w:sz w:val="22"/>
          <w:szCs w:val="22"/>
        </w:rPr>
      </w:pPr>
      <w:r w:rsidRPr="00DB7173">
        <w:rPr>
          <w:rFonts w:asciiTheme="minorHAnsi" w:hAnsiTheme="minorHAnsi" w:cstheme="minorHAnsi"/>
          <w:bCs/>
          <w:sz w:val="22"/>
          <w:szCs w:val="22"/>
        </w:rPr>
        <w:t>Módulo</w:t>
      </w:r>
      <w:r w:rsidR="0018648D" w:rsidRPr="00DB7173">
        <w:rPr>
          <w:rFonts w:asciiTheme="minorHAnsi" w:hAnsiTheme="minorHAnsi" w:cstheme="minorHAnsi"/>
          <w:bCs/>
          <w:sz w:val="22"/>
          <w:szCs w:val="22"/>
        </w:rPr>
        <w:t xml:space="preserve"> </w:t>
      </w:r>
      <w:r w:rsidR="003C78F7" w:rsidRPr="00DB7173">
        <w:rPr>
          <w:rFonts w:asciiTheme="minorHAnsi" w:hAnsiTheme="minorHAnsi" w:cstheme="minorHAnsi"/>
          <w:bCs/>
          <w:sz w:val="22"/>
          <w:szCs w:val="22"/>
        </w:rPr>
        <w:t>2:</w:t>
      </w:r>
      <w:r w:rsidR="00535EB3" w:rsidRPr="00DB7173">
        <w:rPr>
          <w:rFonts w:asciiTheme="minorHAnsi" w:hAnsiTheme="minorHAnsi" w:cstheme="minorHAnsi"/>
          <w:bCs/>
          <w:sz w:val="22"/>
          <w:szCs w:val="22"/>
        </w:rPr>
        <w:t xml:space="preserve"> Enfoques del Análisis d</w:t>
      </w:r>
      <w:r w:rsidRPr="00DB7173">
        <w:rPr>
          <w:rFonts w:asciiTheme="minorHAnsi" w:hAnsiTheme="minorHAnsi" w:cstheme="minorHAnsi"/>
          <w:bCs/>
          <w:sz w:val="22"/>
          <w:szCs w:val="22"/>
        </w:rPr>
        <w:t>e Riesgo</w:t>
      </w:r>
    </w:p>
    <w:p w14:paraId="3E741490" w14:textId="78970C1A" w:rsidR="00ED75FD" w:rsidRPr="00DB7173" w:rsidRDefault="00704CF4" w:rsidP="00DB7173">
      <w:pPr>
        <w:spacing w:after="200"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El segundo módulo desarrolla los dos enfoques complementarios del análisis. En el enfoque cualitativo se trabajan los métodos de identificación, las estrategias de administración del riesgo y la construcción de matrices de probabilidad e impacto para priorizar la atención gerencial. En el enfoque cuantitativo se formaliza la medición: variables discretas y continuas, generación de variables aleatorias y modelos de pronóstico, con el fin de transformar juicios expertos en estimaciones verificables y comparables entre alternativas.</w:t>
      </w:r>
    </w:p>
    <w:p w14:paraId="0645AB1D" w14:textId="12677CAA" w:rsidR="00DB7173" w:rsidRDefault="00DB7173" w:rsidP="00DB7173">
      <w:pPr>
        <w:spacing w:line="276" w:lineRule="auto"/>
        <w:rPr>
          <w:rFonts w:asciiTheme="minorHAnsi" w:hAnsiTheme="minorHAnsi" w:cstheme="minorHAnsi"/>
          <w:b/>
          <w:bCs/>
          <w:sz w:val="22"/>
          <w:szCs w:val="22"/>
          <w:lang w:val="es-MX"/>
        </w:rPr>
      </w:pPr>
      <w:r>
        <w:rPr>
          <w:rFonts w:asciiTheme="minorHAnsi" w:hAnsiTheme="minorHAnsi" w:cstheme="minorHAnsi"/>
          <w:b/>
          <w:bCs/>
          <w:sz w:val="22"/>
          <w:szCs w:val="22"/>
          <w:lang w:val="es-MX"/>
        </w:rPr>
        <w:br w:type="page"/>
      </w:r>
    </w:p>
    <w:p w14:paraId="27263CE8" w14:textId="77777777" w:rsidR="00175322" w:rsidRPr="00DB7173" w:rsidRDefault="00175322" w:rsidP="00DB7173">
      <w:pPr>
        <w:spacing w:line="276" w:lineRule="auto"/>
        <w:ind w:right="851"/>
        <w:jc w:val="both"/>
        <w:rPr>
          <w:rFonts w:asciiTheme="minorHAnsi" w:hAnsiTheme="minorHAnsi" w:cstheme="minorHAnsi"/>
          <w:b/>
          <w:bCs/>
          <w:sz w:val="22"/>
          <w:szCs w:val="22"/>
          <w:lang w:val="es-MX"/>
        </w:rPr>
      </w:pPr>
    </w:p>
    <w:p w14:paraId="39C21FFF" w14:textId="3AFDF831" w:rsidR="00535EB3" w:rsidRPr="00DB7173" w:rsidRDefault="001F5C6B" w:rsidP="00DB7173">
      <w:pPr>
        <w:spacing w:line="276" w:lineRule="auto"/>
        <w:ind w:right="851"/>
        <w:jc w:val="both"/>
        <w:rPr>
          <w:rFonts w:asciiTheme="minorHAnsi" w:hAnsiTheme="minorHAnsi" w:cstheme="minorHAnsi"/>
          <w:b/>
          <w:bCs/>
          <w:sz w:val="22"/>
          <w:szCs w:val="22"/>
          <w:lang w:val="es-MX"/>
        </w:rPr>
      </w:pPr>
      <w:r w:rsidRPr="00DB7173">
        <w:rPr>
          <w:rFonts w:asciiTheme="minorHAnsi" w:hAnsiTheme="minorHAnsi" w:cstheme="minorHAnsi"/>
          <w:b/>
          <w:bCs/>
          <w:sz w:val="22"/>
          <w:szCs w:val="22"/>
          <w:lang w:val="es-MX"/>
        </w:rPr>
        <w:t xml:space="preserve">Análisis </w:t>
      </w:r>
      <w:r w:rsidR="00535EB3" w:rsidRPr="00DB7173">
        <w:rPr>
          <w:rFonts w:asciiTheme="minorHAnsi" w:hAnsiTheme="minorHAnsi" w:cstheme="minorHAnsi"/>
          <w:b/>
          <w:bCs/>
          <w:sz w:val="22"/>
          <w:szCs w:val="22"/>
          <w:lang w:val="es-MX"/>
        </w:rPr>
        <w:t>Cualitativo</w:t>
      </w:r>
    </w:p>
    <w:p w14:paraId="675256C5" w14:textId="21D8AD2F" w:rsidR="00535EB3" w:rsidRPr="00DB7173" w:rsidRDefault="00535EB3" w:rsidP="00DB7173">
      <w:pPr>
        <w:pStyle w:val="Prrafodelista"/>
        <w:numPr>
          <w:ilvl w:val="0"/>
          <w:numId w:val="12"/>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color w:val="000000"/>
          <w:sz w:val="22"/>
          <w:szCs w:val="22"/>
          <w:lang w:val="es-MX"/>
        </w:rPr>
        <w:t>Métodos de identificación de riesgo</w:t>
      </w:r>
      <w:r w:rsidR="00704CF4" w:rsidRPr="00DB7173">
        <w:rPr>
          <w:rFonts w:asciiTheme="minorHAnsi" w:hAnsiTheme="minorHAnsi" w:cstheme="minorHAnsi"/>
          <w:color w:val="000000"/>
          <w:sz w:val="22"/>
          <w:szCs w:val="22"/>
          <w:lang w:val="es-MX"/>
        </w:rPr>
        <w:t xml:space="preserve"> — técnicas de levantamiento: lluvia de ideas, listas de chequeo, entrevistas a expertos, análisis DOFA y causa-efecto.</w:t>
      </w:r>
    </w:p>
    <w:p w14:paraId="5CD7BB4D" w14:textId="1078A51D" w:rsidR="00535EB3" w:rsidRPr="00DB7173" w:rsidRDefault="00535EB3" w:rsidP="00DB7173">
      <w:pPr>
        <w:pStyle w:val="Prrafodelista"/>
        <w:numPr>
          <w:ilvl w:val="0"/>
          <w:numId w:val="12"/>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color w:val="000000"/>
          <w:sz w:val="22"/>
          <w:szCs w:val="22"/>
          <w:lang w:val="es-MX"/>
        </w:rPr>
        <w:t>Estrategias para administración de Riesgo</w:t>
      </w:r>
      <w:r w:rsidR="00704CF4" w:rsidRPr="00DB7173">
        <w:rPr>
          <w:rFonts w:asciiTheme="minorHAnsi" w:hAnsiTheme="minorHAnsi" w:cstheme="minorHAnsi"/>
          <w:color w:val="000000"/>
          <w:sz w:val="22"/>
          <w:szCs w:val="22"/>
          <w:lang w:val="es-MX"/>
        </w:rPr>
        <w:t xml:space="preserve"> — opciones de respuesta —evitar, mitigar, transferir o aceptar— y criterios para asignar responsables.</w:t>
      </w:r>
    </w:p>
    <w:p w14:paraId="5B395CDA" w14:textId="7F63167C" w:rsidR="00ED75FD" w:rsidRPr="00DB7173" w:rsidRDefault="00535EB3" w:rsidP="00DB7173">
      <w:pPr>
        <w:pStyle w:val="Prrafodelista"/>
        <w:numPr>
          <w:ilvl w:val="0"/>
          <w:numId w:val="12"/>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color w:val="000000"/>
          <w:sz w:val="22"/>
          <w:szCs w:val="22"/>
          <w:lang w:val="es-MX"/>
        </w:rPr>
        <w:t>Matriz de impacto</w:t>
      </w:r>
      <w:r w:rsidR="00704CF4" w:rsidRPr="00DB7173">
        <w:rPr>
          <w:rFonts w:asciiTheme="minorHAnsi" w:hAnsiTheme="minorHAnsi" w:cstheme="minorHAnsi"/>
          <w:color w:val="000000"/>
          <w:sz w:val="22"/>
          <w:szCs w:val="22"/>
          <w:lang w:val="es-MX"/>
        </w:rPr>
        <w:t xml:space="preserve"> — cruce de probabilidad e impacto para clasificar y priorizar los riesgos identificados.</w:t>
      </w:r>
    </w:p>
    <w:p w14:paraId="42ABF5E8" w14:textId="77777777" w:rsidR="00175322" w:rsidRPr="00DB7173" w:rsidRDefault="00175322" w:rsidP="00DB7173">
      <w:pPr>
        <w:spacing w:line="276" w:lineRule="auto"/>
        <w:ind w:right="851"/>
        <w:jc w:val="both"/>
        <w:rPr>
          <w:rFonts w:asciiTheme="minorHAnsi" w:hAnsiTheme="minorHAnsi" w:cstheme="minorHAnsi"/>
          <w:b/>
          <w:bCs/>
          <w:sz w:val="22"/>
          <w:szCs w:val="22"/>
          <w:lang w:val="es-MX"/>
        </w:rPr>
      </w:pPr>
    </w:p>
    <w:p w14:paraId="5A058F89" w14:textId="77777777" w:rsidR="00ED75FD" w:rsidRPr="00DB7173" w:rsidRDefault="0018648D" w:rsidP="00DB7173">
      <w:pPr>
        <w:spacing w:line="276" w:lineRule="auto"/>
        <w:ind w:right="851"/>
        <w:jc w:val="both"/>
        <w:rPr>
          <w:rFonts w:asciiTheme="minorHAnsi" w:hAnsiTheme="minorHAnsi" w:cstheme="minorHAnsi"/>
          <w:b/>
          <w:bCs/>
          <w:sz w:val="22"/>
          <w:szCs w:val="22"/>
          <w:lang w:val="es-MX"/>
        </w:rPr>
      </w:pPr>
      <w:r w:rsidRPr="00DB7173">
        <w:rPr>
          <w:rFonts w:asciiTheme="minorHAnsi" w:hAnsiTheme="minorHAnsi" w:cstheme="minorHAnsi"/>
          <w:b/>
          <w:bCs/>
          <w:sz w:val="22"/>
          <w:szCs w:val="22"/>
          <w:lang w:val="es-MX"/>
        </w:rPr>
        <w:t>Análisis</w:t>
      </w:r>
      <w:r w:rsidR="00ED75FD" w:rsidRPr="00DB7173">
        <w:rPr>
          <w:rFonts w:asciiTheme="minorHAnsi" w:hAnsiTheme="minorHAnsi" w:cstheme="minorHAnsi"/>
          <w:b/>
          <w:bCs/>
          <w:sz w:val="22"/>
          <w:szCs w:val="22"/>
          <w:lang w:val="es-MX"/>
        </w:rPr>
        <w:t xml:space="preserve"> Cuantitativo</w:t>
      </w:r>
    </w:p>
    <w:p w14:paraId="226054D6" w14:textId="176281CB" w:rsidR="0056420E" w:rsidRPr="00DB7173" w:rsidRDefault="0056420E" w:rsidP="00DB7173">
      <w:pPr>
        <w:pStyle w:val="Prrafodelista"/>
        <w:numPr>
          <w:ilvl w:val="0"/>
          <w:numId w:val="13"/>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color w:val="000000"/>
          <w:sz w:val="22"/>
          <w:szCs w:val="22"/>
          <w:lang w:val="es-MX"/>
        </w:rPr>
        <w:t>Métodos de cuantificación de riesgo</w:t>
      </w:r>
      <w:r w:rsidR="00704CF4" w:rsidRPr="00DB7173">
        <w:rPr>
          <w:rFonts w:asciiTheme="minorHAnsi" w:hAnsiTheme="minorHAnsi" w:cstheme="minorHAnsi"/>
          <w:color w:val="000000"/>
          <w:sz w:val="22"/>
          <w:szCs w:val="22"/>
          <w:lang w:val="es-MX"/>
        </w:rPr>
        <w:t xml:space="preserve"> — paso del juicio cualitativo a la medida: valor esperado, varianza, árboles de decisión y análisis de escenarios.</w:t>
      </w:r>
    </w:p>
    <w:p w14:paraId="64A355F4" w14:textId="391A0E35" w:rsidR="0056420E" w:rsidRPr="00DB7173" w:rsidRDefault="0056420E" w:rsidP="00DB7173">
      <w:pPr>
        <w:pStyle w:val="Prrafodelista"/>
        <w:numPr>
          <w:ilvl w:val="0"/>
          <w:numId w:val="13"/>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Definición de variables discretas, y variables continuas</w:t>
      </w:r>
      <w:r w:rsidR="00704CF4" w:rsidRPr="00DB7173">
        <w:rPr>
          <w:rFonts w:asciiTheme="minorHAnsi" w:hAnsiTheme="minorHAnsi" w:cstheme="minorHAnsi"/>
          <w:color w:val="000000"/>
          <w:sz w:val="22"/>
          <w:szCs w:val="22"/>
          <w:lang w:val="es-MX"/>
        </w:rPr>
        <w:t xml:space="preserve"> — naturaleza de cada variable del modelo y distribución de probabilidad que mejor la representa.</w:t>
      </w:r>
    </w:p>
    <w:p w14:paraId="69256507" w14:textId="379FC957" w:rsidR="00ED75FD" w:rsidRPr="00DB7173" w:rsidRDefault="0043700D" w:rsidP="00DB7173">
      <w:pPr>
        <w:pStyle w:val="Prrafodelista"/>
        <w:numPr>
          <w:ilvl w:val="0"/>
          <w:numId w:val="13"/>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Generación variable</w:t>
      </w:r>
      <w:r w:rsidR="00ED75FD" w:rsidRPr="00DB7173">
        <w:rPr>
          <w:rFonts w:asciiTheme="minorHAnsi" w:hAnsiTheme="minorHAnsi" w:cstheme="minorHAnsi"/>
          <w:sz w:val="22"/>
          <w:szCs w:val="22"/>
          <w:lang w:val="es-MX"/>
        </w:rPr>
        <w:t xml:space="preserve"> aleatorias</w:t>
      </w:r>
      <w:r w:rsidR="00704CF4" w:rsidRPr="00DB7173">
        <w:rPr>
          <w:rFonts w:asciiTheme="minorHAnsi" w:hAnsiTheme="minorHAnsi" w:cstheme="minorHAnsi"/>
          <w:color w:val="000000"/>
          <w:sz w:val="22"/>
          <w:szCs w:val="22"/>
          <w:lang w:val="es-MX"/>
        </w:rPr>
        <w:t xml:space="preserve"> — obtención de números aleatorios y su transformación en valores de la distribución elegida.</w:t>
      </w:r>
    </w:p>
    <w:p w14:paraId="33943EE5" w14:textId="77777777" w:rsidR="001F5C6B" w:rsidRPr="00DB7173" w:rsidRDefault="002A6EB5" w:rsidP="00DB7173">
      <w:pPr>
        <w:pStyle w:val="Prrafodelista"/>
        <w:numPr>
          <w:ilvl w:val="0"/>
          <w:numId w:val="13"/>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sz w:val="22"/>
          <w:szCs w:val="22"/>
          <w:lang w:val="es-MX"/>
        </w:rPr>
        <w:t>Modelos para p</w:t>
      </w:r>
      <w:r w:rsidR="0056420E" w:rsidRPr="00DB7173">
        <w:rPr>
          <w:rFonts w:asciiTheme="minorHAnsi" w:hAnsiTheme="minorHAnsi" w:cstheme="minorHAnsi"/>
          <w:sz w:val="22"/>
          <w:szCs w:val="22"/>
          <w:lang w:val="es-MX"/>
        </w:rPr>
        <w:t>ronósticos</w:t>
      </w:r>
      <w:r w:rsidR="00704CF4" w:rsidRPr="00DB7173">
        <w:rPr>
          <w:rFonts w:asciiTheme="minorHAnsi" w:hAnsiTheme="minorHAnsi" w:cstheme="minorHAnsi"/>
          <w:color w:val="000000"/>
          <w:sz w:val="22"/>
          <w:szCs w:val="22"/>
          <w:lang w:val="es-MX"/>
        </w:rPr>
        <w:t xml:space="preserve"> — proyección de variables críticas mediante series de tiempo y regresión, con medición del error.</w:t>
      </w:r>
    </w:p>
    <w:p w14:paraId="56D9ABC8" w14:textId="279C2A9A" w:rsidR="001F5C6B" w:rsidRPr="00DB7173" w:rsidRDefault="001F5C6B" w:rsidP="00DB7173">
      <w:pPr>
        <w:spacing w:before="160" w:after="120" w:line="276" w:lineRule="auto"/>
        <w:ind w:right="851"/>
        <w:jc w:val="center"/>
        <w:rPr>
          <w:rFonts w:asciiTheme="minorHAnsi" w:hAnsiTheme="minorHAnsi" w:cstheme="minorHAnsi"/>
          <w:b/>
          <w:color w:val="000000"/>
          <w:sz w:val="20"/>
        </w:rPr>
      </w:pPr>
      <w:r w:rsidRPr="00DB7173">
        <w:rPr>
          <w:rFonts w:asciiTheme="minorHAnsi" w:hAnsiTheme="minorHAnsi" w:cstheme="minorHAnsi"/>
          <w:b/>
          <w:color w:val="000000"/>
          <w:sz w:val="20"/>
        </w:rPr>
        <w:t>Figura 2. Proceso de desarrollo del Módulo 2</w:t>
      </w:r>
      <w:r w:rsidR="008B499B" w:rsidRPr="00DB7173">
        <w:rPr>
          <w:rFonts w:asciiTheme="minorHAnsi" w:hAnsiTheme="minorHAnsi" w:cstheme="minorHAnsi"/>
          <w:noProof/>
        </w:rPr>
        <mc:AlternateContent>
          <mc:Choice Requires="wpg">
            <w:drawing>
              <wp:inline distT="0" distB="0" distL="0" distR="0" wp14:anchorId="23373949" wp14:editId="189D6284">
                <wp:extent cx="5816600" cy="1143000"/>
                <wp:effectExtent l="0" t="0" r="0" b="0"/>
                <wp:docPr id="216946350" name="Figura"/>
                <wp:cNvGraphicFramePr/>
                <a:graphic xmlns:a="http://schemas.openxmlformats.org/drawingml/2006/main">
                  <a:graphicData uri="http://schemas.microsoft.com/office/word/2010/wordprocessingGroup">
                    <wpg:wgp>
                      <wpg:cNvGrpSpPr/>
                      <wpg:grpSpPr>
                        <a:xfrm>
                          <a:off x="0" y="0"/>
                          <a:ext cx="5816600" cy="1143000"/>
                          <a:chOff x="0" y="0"/>
                          <a:chExt cx="5816600" cy="1143000"/>
                        </a:xfrm>
                      </wpg:grpSpPr>
                      <wps:wsp>
                        <wps:cNvPr id="1408735996" name="B2"/>
                        <wps:cNvSpPr/>
                        <wps:spPr>
                          <a:xfrm>
                            <a:off x="0" y="0"/>
                            <a:ext cx="1092200" cy="508000"/>
                          </a:xfrm>
                          <a:prstGeom prst="roundRect">
                            <a:avLst/>
                          </a:prstGeom>
                          <a:solidFill>
                            <a:srgbClr val="FFF2CC"/>
                          </a:solidFill>
                          <a:ln w="12700">
                            <a:solidFill>
                              <a:srgbClr val="BF8F00"/>
                            </a:solidFill>
                          </a:ln>
                        </wps:spPr>
                        <wps:txbx>
                          <w:txbxContent>
                            <w:p w14:paraId="43B02AEE" w14:textId="77777777" w:rsidR="008B499B" w:rsidRDefault="008B499B">
                              <w:pPr>
                                <w:jc w:val="center"/>
                              </w:pPr>
                              <w:r>
                                <w:rPr>
                                  <w:b/>
                                  <w:color w:val="1F1F1F"/>
                                  <w:sz w:val="16"/>
                                </w:rPr>
                                <w:t>Análisis Cualitativo</w:t>
                              </w:r>
                            </w:p>
                          </w:txbxContent>
                        </wps:txbx>
                        <wps:bodyPr lIns="27432" tIns="18288" rIns="27432" bIns="18288" anchor="ctr">
                          <a:noAutofit/>
                        </wps:bodyPr>
                      </wps:wsp>
                      <wps:wsp>
                        <wps:cNvPr id="780800601" name="A3"/>
                        <wps:cNvSpPr/>
                        <wps:spPr>
                          <a:xfrm>
                            <a:off x="1143000" y="165100"/>
                            <a:ext cx="254000" cy="177800"/>
                          </a:xfrm>
                          <a:prstGeom prst="rightArrow">
                            <a:avLst/>
                          </a:prstGeom>
                          <a:solidFill>
                            <a:srgbClr val="8EAADB"/>
                          </a:solidFill>
                          <a:ln>
                            <a:noFill/>
                          </a:ln>
                        </wps:spPr>
                        <wps:bodyPr/>
                      </wps:wsp>
                      <wps:wsp>
                        <wps:cNvPr id="707621357" name="B4"/>
                        <wps:cNvSpPr/>
                        <wps:spPr>
                          <a:xfrm>
                            <a:off x="1447800" y="0"/>
                            <a:ext cx="1219200" cy="508000"/>
                          </a:xfrm>
                          <a:prstGeom prst="roundRect">
                            <a:avLst/>
                          </a:prstGeom>
                          <a:solidFill>
                            <a:srgbClr val="DEEAF6"/>
                          </a:solidFill>
                          <a:ln w="12700">
                            <a:solidFill>
                              <a:srgbClr val="2E74B5"/>
                            </a:solidFill>
                          </a:ln>
                        </wps:spPr>
                        <wps:txbx>
                          <w:txbxContent>
                            <w:p w14:paraId="3855D8A6" w14:textId="77777777" w:rsidR="008B499B" w:rsidRDefault="008B499B">
                              <w:pPr>
                                <w:jc w:val="center"/>
                              </w:pPr>
                              <w:r>
                                <w:rPr>
                                  <w:color w:val="1F1F1F"/>
                                  <w:sz w:val="16"/>
                                </w:rPr>
                                <w:t>Identificación de riesgos</w:t>
                              </w:r>
                            </w:p>
                          </w:txbxContent>
                        </wps:txbx>
                        <wps:bodyPr lIns="27432" tIns="18288" rIns="27432" bIns="18288" anchor="ctr">
                          <a:noAutofit/>
                        </wps:bodyPr>
                      </wps:wsp>
                      <wps:wsp>
                        <wps:cNvPr id="1185001489" name="A5"/>
                        <wps:cNvSpPr/>
                        <wps:spPr>
                          <a:xfrm>
                            <a:off x="2717800" y="165100"/>
                            <a:ext cx="254000" cy="177800"/>
                          </a:xfrm>
                          <a:prstGeom prst="rightArrow">
                            <a:avLst/>
                          </a:prstGeom>
                          <a:solidFill>
                            <a:srgbClr val="8EAADB"/>
                          </a:solidFill>
                          <a:ln>
                            <a:noFill/>
                          </a:ln>
                        </wps:spPr>
                        <wps:bodyPr/>
                      </wps:wsp>
                      <wps:wsp>
                        <wps:cNvPr id="1475933427" name="B6"/>
                        <wps:cNvSpPr/>
                        <wps:spPr>
                          <a:xfrm>
                            <a:off x="3022600" y="0"/>
                            <a:ext cx="1219200" cy="508000"/>
                          </a:xfrm>
                          <a:prstGeom prst="roundRect">
                            <a:avLst/>
                          </a:prstGeom>
                          <a:solidFill>
                            <a:srgbClr val="DEEAF6"/>
                          </a:solidFill>
                          <a:ln w="12700">
                            <a:solidFill>
                              <a:srgbClr val="2E74B5"/>
                            </a:solidFill>
                          </a:ln>
                        </wps:spPr>
                        <wps:txbx>
                          <w:txbxContent>
                            <w:p w14:paraId="5216EB95" w14:textId="77777777" w:rsidR="008B499B" w:rsidRDefault="008B499B">
                              <w:pPr>
                                <w:jc w:val="center"/>
                              </w:pPr>
                              <w:r>
                                <w:rPr>
                                  <w:color w:val="1F1F1F"/>
                                  <w:sz w:val="16"/>
                                </w:rPr>
                                <w:t>Estrategias de respuesta</w:t>
                              </w:r>
                            </w:p>
                          </w:txbxContent>
                        </wps:txbx>
                        <wps:bodyPr lIns="27432" tIns="18288" rIns="27432" bIns="18288" anchor="ctr">
                          <a:noAutofit/>
                        </wps:bodyPr>
                      </wps:wsp>
                      <wps:wsp>
                        <wps:cNvPr id="912684835" name="A7"/>
                        <wps:cNvSpPr/>
                        <wps:spPr>
                          <a:xfrm>
                            <a:off x="4292600" y="165100"/>
                            <a:ext cx="254000" cy="177800"/>
                          </a:xfrm>
                          <a:prstGeom prst="rightArrow">
                            <a:avLst/>
                          </a:prstGeom>
                          <a:solidFill>
                            <a:srgbClr val="8EAADB"/>
                          </a:solidFill>
                          <a:ln>
                            <a:noFill/>
                          </a:ln>
                        </wps:spPr>
                        <wps:bodyPr/>
                      </wps:wsp>
                      <wps:wsp>
                        <wps:cNvPr id="903082710" name="B8"/>
                        <wps:cNvSpPr/>
                        <wps:spPr>
                          <a:xfrm>
                            <a:off x="4597400" y="0"/>
                            <a:ext cx="1219200" cy="508000"/>
                          </a:xfrm>
                          <a:prstGeom prst="roundRect">
                            <a:avLst/>
                          </a:prstGeom>
                          <a:solidFill>
                            <a:srgbClr val="DEEAF6"/>
                          </a:solidFill>
                          <a:ln w="12700">
                            <a:solidFill>
                              <a:srgbClr val="2E74B5"/>
                            </a:solidFill>
                          </a:ln>
                        </wps:spPr>
                        <wps:txbx>
                          <w:txbxContent>
                            <w:p w14:paraId="65C2C524" w14:textId="77777777" w:rsidR="008B499B" w:rsidRDefault="008B499B">
                              <w:pPr>
                                <w:jc w:val="center"/>
                              </w:pPr>
                              <w:r>
                                <w:rPr>
                                  <w:color w:val="1F1F1F"/>
                                  <w:sz w:val="16"/>
                                </w:rPr>
                                <w:t>Matriz probabilidad-impacto</w:t>
                              </w:r>
                            </w:p>
                          </w:txbxContent>
                        </wps:txbx>
                        <wps:bodyPr lIns="27432" tIns="18288" rIns="27432" bIns="18288" anchor="ctr">
                          <a:noAutofit/>
                        </wps:bodyPr>
                      </wps:wsp>
                      <wps:wsp>
                        <wps:cNvPr id="1978933279" name="B9"/>
                        <wps:cNvSpPr/>
                        <wps:spPr>
                          <a:xfrm>
                            <a:off x="0" y="635000"/>
                            <a:ext cx="1092200" cy="508000"/>
                          </a:xfrm>
                          <a:prstGeom prst="roundRect">
                            <a:avLst/>
                          </a:prstGeom>
                          <a:solidFill>
                            <a:srgbClr val="FFF2CC"/>
                          </a:solidFill>
                          <a:ln w="12700">
                            <a:solidFill>
                              <a:srgbClr val="BF8F00"/>
                            </a:solidFill>
                          </a:ln>
                        </wps:spPr>
                        <wps:txbx>
                          <w:txbxContent>
                            <w:p w14:paraId="555ED9A4" w14:textId="77777777" w:rsidR="008B499B" w:rsidRDefault="008B499B">
                              <w:pPr>
                                <w:jc w:val="center"/>
                              </w:pPr>
                              <w:r>
                                <w:rPr>
                                  <w:b/>
                                  <w:color w:val="1F1F1F"/>
                                  <w:sz w:val="16"/>
                                </w:rPr>
                                <w:t>Análisis Cuantitativo</w:t>
                              </w:r>
                            </w:p>
                          </w:txbxContent>
                        </wps:txbx>
                        <wps:bodyPr lIns="27432" tIns="18288" rIns="27432" bIns="18288" anchor="ctr">
                          <a:noAutofit/>
                        </wps:bodyPr>
                      </wps:wsp>
                      <wps:wsp>
                        <wps:cNvPr id="371405202" name="A10"/>
                        <wps:cNvSpPr/>
                        <wps:spPr>
                          <a:xfrm>
                            <a:off x="1143000" y="800100"/>
                            <a:ext cx="254000" cy="177800"/>
                          </a:xfrm>
                          <a:prstGeom prst="rightArrow">
                            <a:avLst/>
                          </a:prstGeom>
                          <a:solidFill>
                            <a:srgbClr val="8EAADB"/>
                          </a:solidFill>
                          <a:ln>
                            <a:noFill/>
                          </a:ln>
                        </wps:spPr>
                        <wps:bodyPr/>
                      </wps:wsp>
                      <wps:wsp>
                        <wps:cNvPr id="1782536306" name="B11"/>
                        <wps:cNvSpPr/>
                        <wps:spPr>
                          <a:xfrm>
                            <a:off x="1447800" y="635000"/>
                            <a:ext cx="1219200" cy="508000"/>
                          </a:xfrm>
                          <a:prstGeom prst="roundRect">
                            <a:avLst/>
                          </a:prstGeom>
                          <a:solidFill>
                            <a:srgbClr val="DEEAF6"/>
                          </a:solidFill>
                          <a:ln w="12700">
                            <a:solidFill>
                              <a:srgbClr val="2E74B5"/>
                            </a:solidFill>
                          </a:ln>
                        </wps:spPr>
                        <wps:txbx>
                          <w:txbxContent>
                            <w:p w14:paraId="7CF2391F" w14:textId="77777777" w:rsidR="008B499B" w:rsidRDefault="008B499B">
                              <w:pPr>
                                <w:jc w:val="center"/>
                              </w:pPr>
                              <w:r>
                                <w:rPr>
                                  <w:color w:val="1F1F1F"/>
                                  <w:sz w:val="16"/>
                                </w:rPr>
                                <w:t>Cuantificación del riesgo</w:t>
                              </w:r>
                            </w:p>
                          </w:txbxContent>
                        </wps:txbx>
                        <wps:bodyPr lIns="27432" tIns="18288" rIns="27432" bIns="18288" anchor="ctr">
                          <a:noAutofit/>
                        </wps:bodyPr>
                      </wps:wsp>
                      <wps:wsp>
                        <wps:cNvPr id="500032971" name="A12"/>
                        <wps:cNvSpPr/>
                        <wps:spPr>
                          <a:xfrm>
                            <a:off x="2717800" y="800100"/>
                            <a:ext cx="254000" cy="177800"/>
                          </a:xfrm>
                          <a:prstGeom prst="rightArrow">
                            <a:avLst/>
                          </a:prstGeom>
                          <a:solidFill>
                            <a:srgbClr val="8EAADB"/>
                          </a:solidFill>
                          <a:ln>
                            <a:noFill/>
                          </a:ln>
                        </wps:spPr>
                        <wps:bodyPr/>
                      </wps:wsp>
                      <wps:wsp>
                        <wps:cNvPr id="1124097748" name="B13"/>
                        <wps:cNvSpPr/>
                        <wps:spPr>
                          <a:xfrm>
                            <a:off x="3022600" y="635000"/>
                            <a:ext cx="1219200" cy="508000"/>
                          </a:xfrm>
                          <a:prstGeom prst="roundRect">
                            <a:avLst/>
                          </a:prstGeom>
                          <a:solidFill>
                            <a:srgbClr val="DEEAF6"/>
                          </a:solidFill>
                          <a:ln w="12700">
                            <a:solidFill>
                              <a:srgbClr val="2E74B5"/>
                            </a:solidFill>
                          </a:ln>
                        </wps:spPr>
                        <wps:txbx>
                          <w:txbxContent>
                            <w:p w14:paraId="05858AC1" w14:textId="77777777" w:rsidR="008B499B" w:rsidRDefault="008B499B">
                              <w:pPr>
                                <w:jc w:val="center"/>
                              </w:pPr>
                              <w:r>
                                <w:rPr>
                                  <w:color w:val="1F1F1F"/>
                                  <w:sz w:val="16"/>
                                </w:rPr>
                                <w:t>Variables y aleatorias</w:t>
                              </w:r>
                            </w:p>
                          </w:txbxContent>
                        </wps:txbx>
                        <wps:bodyPr lIns="27432" tIns="18288" rIns="27432" bIns="18288" anchor="ctr">
                          <a:noAutofit/>
                        </wps:bodyPr>
                      </wps:wsp>
                      <wps:wsp>
                        <wps:cNvPr id="1357876452" name="A14"/>
                        <wps:cNvSpPr/>
                        <wps:spPr>
                          <a:xfrm>
                            <a:off x="4292600" y="800100"/>
                            <a:ext cx="254000" cy="177800"/>
                          </a:xfrm>
                          <a:prstGeom prst="rightArrow">
                            <a:avLst/>
                          </a:prstGeom>
                          <a:solidFill>
                            <a:srgbClr val="8EAADB"/>
                          </a:solidFill>
                          <a:ln>
                            <a:noFill/>
                          </a:ln>
                        </wps:spPr>
                        <wps:bodyPr/>
                      </wps:wsp>
                      <wps:wsp>
                        <wps:cNvPr id="551866086" name="B15"/>
                        <wps:cNvSpPr/>
                        <wps:spPr>
                          <a:xfrm>
                            <a:off x="4597400" y="635000"/>
                            <a:ext cx="1219200" cy="508000"/>
                          </a:xfrm>
                          <a:prstGeom prst="roundRect">
                            <a:avLst/>
                          </a:prstGeom>
                          <a:solidFill>
                            <a:srgbClr val="DEEAF6"/>
                          </a:solidFill>
                          <a:ln w="12700">
                            <a:solidFill>
                              <a:srgbClr val="2E74B5"/>
                            </a:solidFill>
                          </a:ln>
                        </wps:spPr>
                        <wps:txbx>
                          <w:txbxContent>
                            <w:p w14:paraId="0BA2B7FE" w14:textId="77777777" w:rsidR="008B499B" w:rsidRDefault="008B499B">
                              <w:pPr>
                                <w:jc w:val="center"/>
                              </w:pPr>
                              <w:r>
                                <w:rPr>
                                  <w:color w:val="1F1F1F"/>
                                  <w:sz w:val="16"/>
                                </w:rPr>
                                <w:t>Modelos de pronóstico</w:t>
                              </w:r>
                            </w:p>
                          </w:txbxContent>
                        </wps:txbx>
                        <wps:bodyPr lIns="27432" tIns="18288" rIns="27432" bIns="18288" anchor="ctr">
                          <a:noAutofit/>
                        </wps:bodyPr>
                      </wps:wsp>
                    </wpg:wgp>
                  </a:graphicData>
                </a:graphic>
              </wp:inline>
            </w:drawing>
          </mc:Choice>
          <mc:Fallback>
            <w:pict>
              <v:group w14:anchorId="23373949" id="_x0000_s1034" style="width:458pt;height:90pt;mso-position-horizontal-relative:char;mso-position-vertical-relative:line" coordsize="58166,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">
                <v:roundrect id="B2" o:spid="_x0000_s1035" style="position:absolute;width:1092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" fillcolor="#fff2cc" strokecolor="#bf8f00" strokeweight="1pt">
                  <v:textbox inset="2.16pt,1.44pt,2.16pt,1.44pt">
                    <w:txbxContent>
                      <w:p w14:paraId="43B02AEE" w14:textId="77777777" w:rsidR="008B499B" w:rsidRDefault="008B499B">
                        <w:pPr>
                          <w:jc w:val="center"/>
                        </w:pPr>
                        <w:r>
                          <w:rPr>
                            <w:b/>
                            <w:color w:val="1F1F1F"/>
                            <w:sz w:val="16"/>
                          </w:rPr>
                          <w:t>Análisis Cualitativo</w:t>
                        </w:r>
                      </w:p>
                    </w:txbxContent>
                  </v:textbox>
                </v:roundrect>
                <v:shape id="A3" o:spid="_x0000_s1036" type="#_x0000_t13" style="position:absolute;left:11430;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" adj="14040" fillcolor="#8eaadb" stroked="f"/>
                <v:roundrect id="B4" o:spid="_x0000_s1037" style="position:absolute;left:14478;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" fillcolor="#deeaf6" strokecolor="#2e74b5" strokeweight="1pt">
                  <v:textbox inset="2.16pt,1.44pt,2.16pt,1.44pt">
                    <w:txbxContent>
                      <w:p w14:paraId="3855D8A6" w14:textId="77777777" w:rsidR="008B499B" w:rsidRDefault="008B499B">
                        <w:pPr>
                          <w:jc w:val="center"/>
                        </w:pPr>
                        <w:r>
                          <w:rPr>
                            <w:color w:val="1F1F1F"/>
                            <w:sz w:val="16"/>
                          </w:rPr>
                          <w:t>Identificación de riesgos</w:t>
                        </w:r>
                      </w:p>
                    </w:txbxContent>
                  </v:textbox>
                </v:roundrect>
                <v:shape id="A5" o:spid="_x0000_s1038" type="#_x0000_t13" style="position:absolute;left:27178;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" adj="14040" fillcolor="#8eaadb" stroked="f"/>
                <v:roundrect id="B6" o:spid="_x0000_s1039" style="position:absolute;left:30226;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" fillcolor="#deeaf6" strokecolor="#2e74b5" strokeweight="1pt">
                  <v:textbox inset="2.16pt,1.44pt,2.16pt,1.44pt">
                    <w:txbxContent>
                      <w:p w14:paraId="5216EB95" w14:textId="77777777" w:rsidR="008B499B" w:rsidRDefault="008B499B">
                        <w:pPr>
                          <w:jc w:val="center"/>
                        </w:pPr>
                        <w:r>
                          <w:rPr>
                            <w:color w:val="1F1F1F"/>
                            <w:sz w:val="16"/>
                          </w:rPr>
                          <w:t>Estrategias de respuesta</w:t>
                        </w:r>
                      </w:p>
                    </w:txbxContent>
                  </v:textbox>
                </v:roundrect>
                <v:shape id="A7" o:spid="_x0000_s1040" type="#_x0000_t13" style="position:absolute;left:42926;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" adj="14040" fillcolor="#8eaadb" stroked="f"/>
                <v:roundrect id="B8" o:spid="_x0000_s1041" style="position:absolute;left:45974;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" fillcolor="#deeaf6" strokecolor="#2e74b5" strokeweight="1pt">
                  <v:textbox inset="2.16pt,1.44pt,2.16pt,1.44pt">
                    <w:txbxContent>
                      <w:p w14:paraId="65C2C524" w14:textId="77777777" w:rsidR="008B499B" w:rsidRDefault="008B499B">
                        <w:pPr>
                          <w:jc w:val="center"/>
                        </w:pPr>
                        <w:r>
                          <w:rPr>
                            <w:color w:val="1F1F1F"/>
                            <w:sz w:val="16"/>
                          </w:rPr>
                          <w:t>Matriz probabilidad-impacto</w:t>
                        </w:r>
                      </w:p>
                    </w:txbxContent>
                  </v:textbox>
                </v:roundrect>
                <v:roundrect id="B9" o:spid="_x0000_s1042" style="position:absolute;top:6350;width:1092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" fillcolor="#fff2cc" strokecolor="#bf8f00" strokeweight="1pt">
                  <v:textbox inset="2.16pt,1.44pt,2.16pt,1.44pt">
                    <w:txbxContent>
                      <w:p w14:paraId="555ED9A4" w14:textId="77777777" w:rsidR="008B499B" w:rsidRDefault="008B499B">
                        <w:pPr>
                          <w:jc w:val="center"/>
                        </w:pPr>
                        <w:r>
                          <w:rPr>
                            <w:b/>
                            <w:color w:val="1F1F1F"/>
                            <w:sz w:val="16"/>
                          </w:rPr>
                          <w:t>Análisis Cuantitativo</w:t>
                        </w:r>
                      </w:p>
                    </w:txbxContent>
                  </v:textbox>
                </v:roundrect>
                <v:shape id="A10" o:spid="_x0000_s1043" type="#_x0000_t13" style="position:absolute;left:11430;top:800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" adj="14040" fillcolor="#8eaadb" stroked="f"/>
                <v:roundrect id="B11" o:spid="_x0000_s1044" style="position:absolute;left:14478;top:6350;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" fillcolor="#deeaf6" strokecolor="#2e74b5" strokeweight="1pt">
                  <v:textbox inset="2.16pt,1.44pt,2.16pt,1.44pt">
                    <w:txbxContent>
                      <w:p w14:paraId="7CF2391F" w14:textId="77777777" w:rsidR="008B499B" w:rsidRDefault="008B499B">
                        <w:pPr>
                          <w:jc w:val="center"/>
                        </w:pPr>
                        <w:r>
                          <w:rPr>
                            <w:color w:val="1F1F1F"/>
                            <w:sz w:val="16"/>
                          </w:rPr>
                          <w:t>Cuantificación del riesgo</w:t>
                        </w:r>
                      </w:p>
                    </w:txbxContent>
                  </v:textbox>
                </v:roundrect>
                <v:shape id="A12" o:spid="_x0000_s1045" type="#_x0000_t13" style="position:absolute;left:27178;top:800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" adj="14040" fillcolor="#8eaadb" stroked="f"/>
                <v:roundrect id="B13" o:spid="_x0000_s1046" style="position:absolute;left:30226;top:6350;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" fillcolor="#deeaf6" strokecolor="#2e74b5" strokeweight="1pt">
                  <v:textbox inset="2.16pt,1.44pt,2.16pt,1.44pt">
                    <w:txbxContent>
                      <w:p w14:paraId="05858AC1" w14:textId="77777777" w:rsidR="008B499B" w:rsidRDefault="008B499B">
                        <w:pPr>
                          <w:jc w:val="center"/>
                        </w:pPr>
                        <w:r>
                          <w:rPr>
                            <w:color w:val="1F1F1F"/>
                            <w:sz w:val="16"/>
                          </w:rPr>
                          <w:t>Variables y aleatorias</w:t>
                        </w:r>
                      </w:p>
                    </w:txbxContent>
                  </v:textbox>
                </v:roundrect>
                <v:shape id="A14" o:spid="_x0000_s1047" type="#_x0000_t13" style="position:absolute;left:42926;top:800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" adj="14040" fillcolor="#8eaadb" stroked="f"/>
                <v:roundrect id="B15" o:spid="_x0000_s1048" style="position:absolute;left:45974;top:6350;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" fillcolor="#deeaf6" strokecolor="#2e74b5" strokeweight="1pt">
                  <v:textbox inset="2.16pt,1.44pt,2.16pt,1.44pt">
                    <w:txbxContent>
                      <w:p w14:paraId="0BA2B7FE" w14:textId="77777777" w:rsidR="008B499B" w:rsidRDefault="008B499B">
                        <w:pPr>
                          <w:jc w:val="center"/>
                        </w:pPr>
                        <w:r>
                          <w:rPr>
                            <w:color w:val="1F1F1F"/>
                            <w:sz w:val="16"/>
                          </w:rPr>
                          <w:t>Modelos de pronóstico</w:t>
                        </w:r>
                      </w:p>
                    </w:txbxContent>
                  </v:textbox>
                </v:roundrect>
                <w10:anchorlock/>
              </v:group>
            </w:pict>
          </mc:Fallback>
        </mc:AlternateContent>
      </w:r>
    </w:p>
    <w:p w14:paraId="72549454" w14:textId="77777777" w:rsidR="00DB7173" w:rsidRDefault="00DB7173" w:rsidP="00DB7173">
      <w:pPr>
        <w:spacing w:line="276" w:lineRule="auto"/>
        <w:ind w:right="851"/>
        <w:jc w:val="both"/>
        <w:rPr>
          <w:rFonts w:asciiTheme="minorHAnsi" w:hAnsiTheme="minorHAnsi" w:cstheme="minorHAnsi"/>
          <w:b/>
          <w:bCs/>
          <w:sz w:val="22"/>
          <w:szCs w:val="22"/>
          <w:lang w:val="es-MX"/>
        </w:rPr>
      </w:pPr>
    </w:p>
    <w:p w14:paraId="17FCD01E" w14:textId="40254F00" w:rsidR="00704CF4" w:rsidRPr="00DB7173" w:rsidRDefault="0056420E" w:rsidP="00DB7173">
      <w:pPr>
        <w:spacing w:line="276" w:lineRule="auto"/>
        <w:ind w:right="851"/>
        <w:jc w:val="both"/>
        <w:rPr>
          <w:rFonts w:asciiTheme="minorHAnsi" w:hAnsiTheme="minorHAnsi" w:cstheme="minorHAnsi"/>
          <w:b/>
          <w:bCs/>
          <w:sz w:val="22"/>
          <w:szCs w:val="22"/>
          <w:lang w:val="es-MX"/>
        </w:rPr>
      </w:pPr>
      <w:r w:rsidRPr="00DB7173">
        <w:rPr>
          <w:rFonts w:asciiTheme="minorHAnsi" w:hAnsiTheme="minorHAnsi" w:cstheme="minorHAnsi"/>
          <w:b/>
          <w:bCs/>
          <w:sz w:val="22"/>
          <w:szCs w:val="22"/>
          <w:lang w:val="es-MX"/>
        </w:rPr>
        <w:t>Módulo 3</w:t>
      </w:r>
      <w:r w:rsidR="0018648D" w:rsidRPr="00DB7173">
        <w:rPr>
          <w:rFonts w:asciiTheme="minorHAnsi" w:hAnsiTheme="minorHAnsi" w:cstheme="minorHAnsi"/>
          <w:b/>
          <w:bCs/>
          <w:sz w:val="22"/>
          <w:szCs w:val="22"/>
          <w:lang w:val="es-MX"/>
        </w:rPr>
        <w:t xml:space="preserve">: </w:t>
      </w:r>
      <w:r w:rsidRPr="00DB7173">
        <w:rPr>
          <w:rFonts w:asciiTheme="minorHAnsi" w:hAnsiTheme="minorHAnsi" w:cstheme="minorHAnsi"/>
          <w:b/>
          <w:bCs/>
          <w:sz w:val="22"/>
          <w:szCs w:val="22"/>
          <w:lang w:val="es-MX"/>
        </w:rPr>
        <w:t>Simulación con @Risk</w:t>
      </w:r>
    </w:p>
    <w:p w14:paraId="65E7A225" w14:textId="4531865F" w:rsidR="00ED75FD" w:rsidRPr="00DB7173" w:rsidRDefault="00704CF4" w:rsidP="00DB7173">
      <w:pPr>
        <w:spacing w:after="200" w:line="276" w:lineRule="auto"/>
        <w:ind w:right="851"/>
        <w:jc w:val="both"/>
        <w:rPr>
          <w:rFonts w:asciiTheme="minorHAnsi" w:hAnsiTheme="minorHAnsi" w:cstheme="minorHAnsi"/>
          <w:color w:val="000000"/>
          <w:sz w:val="22"/>
        </w:rPr>
      </w:pPr>
      <w:r w:rsidRPr="00DB7173">
        <w:rPr>
          <w:rFonts w:asciiTheme="minorHAnsi" w:hAnsiTheme="minorHAnsi" w:cstheme="minorHAnsi"/>
          <w:color w:val="000000"/>
          <w:sz w:val="22"/>
        </w:rPr>
        <w:t>El tercer módulo lleva los conceptos anteriores a la práctica computacional mediante simulación de Monte Carlo con @Risk. Se modelan variables determinísticas y probabilísticas, se validan las distribuciones con pruebas de bondad de ajuste y se aplican los modelos a flujos de caja de proyectos reales. El análisis de sensibilidad probabilística y los gráficos de araña, tornado y Pareto permiten identificar los factores que concentran la exposición y sustentar recomendaciones de inversión ante instancias de decisión.</w:t>
      </w:r>
    </w:p>
    <w:p w14:paraId="02444BF3" w14:textId="6741E160" w:rsidR="00ED75FD" w:rsidRPr="00DB7173" w:rsidRDefault="0056420E" w:rsidP="00DB7173">
      <w:pPr>
        <w:pStyle w:val="Prrafodelista"/>
        <w:numPr>
          <w:ilvl w:val="0"/>
          <w:numId w:val="14"/>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Moldeamiento de variables: determinísticas y probabilísticas</w:t>
      </w:r>
      <w:r w:rsidR="00704CF4" w:rsidRPr="00DB7173">
        <w:rPr>
          <w:rFonts w:asciiTheme="minorHAnsi" w:hAnsiTheme="minorHAnsi" w:cstheme="minorHAnsi"/>
          <w:color w:val="000000"/>
          <w:sz w:val="22"/>
          <w:szCs w:val="22"/>
          <w:lang w:val="es-MX"/>
        </w:rPr>
        <w:t xml:space="preserve"> — decisión sobre qué variables se fijan como dato y cuáles se modelan con distribución.</w:t>
      </w:r>
    </w:p>
    <w:p w14:paraId="112248FA" w14:textId="066E43ED" w:rsidR="002A6EB5" w:rsidRPr="00DB7173" w:rsidRDefault="00704CF4" w:rsidP="00DB7173">
      <w:pPr>
        <w:pStyle w:val="Prrafodelista"/>
        <w:numPr>
          <w:ilvl w:val="0"/>
          <w:numId w:val="14"/>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 xml:space="preserve">Pruebas de bondad de ajuste — </w:t>
      </w:r>
      <w:r w:rsidRPr="00DB7173">
        <w:rPr>
          <w:rFonts w:asciiTheme="minorHAnsi" w:hAnsiTheme="minorHAnsi" w:cstheme="minorHAnsi"/>
          <w:color w:val="000000"/>
          <w:sz w:val="22"/>
          <w:szCs w:val="22"/>
          <w:lang w:val="es-MX"/>
        </w:rPr>
        <w:t>validación estadística de la distribución seleccionada (Chi-cuadrado, Kolmogórov-Smirnov, Anderson-Darling).</w:t>
      </w:r>
    </w:p>
    <w:p w14:paraId="6B564BED" w14:textId="17410B53" w:rsidR="0056420E" w:rsidRPr="00DB7173" w:rsidRDefault="0056420E" w:rsidP="00DB7173">
      <w:pPr>
        <w:pStyle w:val="Prrafodelista"/>
        <w:numPr>
          <w:ilvl w:val="0"/>
          <w:numId w:val="14"/>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Aplicaciones a flujos de caja</w:t>
      </w:r>
      <w:r w:rsidR="00704CF4" w:rsidRPr="00DB7173">
        <w:rPr>
          <w:rFonts w:asciiTheme="minorHAnsi" w:hAnsiTheme="minorHAnsi" w:cstheme="minorHAnsi"/>
          <w:color w:val="000000"/>
          <w:sz w:val="22"/>
          <w:szCs w:val="22"/>
          <w:lang w:val="es-MX"/>
        </w:rPr>
        <w:t xml:space="preserve"> — incorporación de la simulación al flujo del proyecto para obtener distribuciones de VPN y TIR.</w:t>
      </w:r>
    </w:p>
    <w:p w14:paraId="68ABC146" w14:textId="54684D8E" w:rsidR="0056420E" w:rsidRPr="00DB7173" w:rsidRDefault="00704CF4" w:rsidP="00DB7173">
      <w:pPr>
        <w:pStyle w:val="Prrafodelista"/>
        <w:numPr>
          <w:ilvl w:val="0"/>
          <w:numId w:val="14"/>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lastRenderedPageBreak/>
        <w:t xml:space="preserve">Análisis de gráficos de araña, de tornado y Pareto — </w:t>
      </w:r>
      <w:r w:rsidRPr="00DB7173">
        <w:rPr>
          <w:rFonts w:asciiTheme="minorHAnsi" w:hAnsiTheme="minorHAnsi" w:cstheme="minorHAnsi"/>
          <w:color w:val="000000"/>
          <w:sz w:val="22"/>
          <w:szCs w:val="22"/>
          <w:lang w:val="es-MX"/>
        </w:rPr>
        <w:t>lectura de las salidas gráficas para jerarquizar las variables que más inciden en el resultado.</w:t>
      </w:r>
    </w:p>
    <w:p w14:paraId="20229623" w14:textId="2A1992A1" w:rsidR="002A6EB5" w:rsidRPr="00DB7173" w:rsidRDefault="002A6EB5" w:rsidP="00DB7173">
      <w:pPr>
        <w:pStyle w:val="Prrafodelista"/>
        <w:numPr>
          <w:ilvl w:val="0"/>
          <w:numId w:val="14"/>
        </w:num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Estimación de Pronósticos usando software</w:t>
      </w:r>
      <w:r w:rsidR="00704CF4" w:rsidRPr="00DB7173">
        <w:rPr>
          <w:rFonts w:asciiTheme="minorHAnsi" w:hAnsiTheme="minorHAnsi" w:cstheme="minorHAnsi"/>
          <w:color w:val="000000"/>
          <w:sz w:val="22"/>
          <w:szCs w:val="22"/>
          <w:lang w:val="es-MX"/>
        </w:rPr>
        <w:t xml:space="preserve"> — uso de @Risk para correr las simulaciones, ajustar datos y documentar los supuestos.</w:t>
      </w:r>
    </w:p>
    <w:p w14:paraId="74A82FF5" w14:textId="77777777" w:rsidR="001F5C6B" w:rsidRPr="00DB7173" w:rsidRDefault="002A6EB5" w:rsidP="00DB7173">
      <w:pPr>
        <w:pStyle w:val="Prrafodelista"/>
        <w:numPr>
          <w:ilvl w:val="0"/>
          <w:numId w:val="14"/>
        </w:numPr>
        <w:spacing w:line="276" w:lineRule="auto"/>
        <w:ind w:right="851"/>
        <w:jc w:val="both"/>
        <w:rPr>
          <w:rFonts w:asciiTheme="minorHAnsi" w:hAnsiTheme="minorHAnsi" w:cstheme="minorHAnsi"/>
          <w:color w:val="000000"/>
          <w:sz w:val="22"/>
          <w:szCs w:val="22"/>
          <w:lang w:val="es-MX"/>
        </w:rPr>
      </w:pPr>
      <w:r w:rsidRPr="00DB7173">
        <w:rPr>
          <w:rFonts w:asciiTheme="minorHAnsi" w:hAnsiTheme="minorHAnsi" w:cstheme="minorHAnsi"/>
          <w:sz w:val="22"/>
          <w:szCs w:val="22"/>
          <w:lang w:val="es-MX"/>
        </w:rPr>
        <w:t>Análisis de sensibilidad probabilística</w:t>
      </w:r>
      <w:r w:rsidR="00704CF4" w:rsidRPr="00DB7173">
        <w:rPr>
          <w:rFonts w:asciiTheme="minorHAnsi" w:hAnsiTheme="minorHAnsi" w:cstheme="minorHAnsi"/>
          <w:color w:val="000000"/>
          <w:sz w:val="22"/>
          <w:szCs w:val="22"/>
          <w:lang w:val="es-MX"/>
        </w:rPr>
        <w:t xml:space="preserve"> — medición de cuánto cambia el resultado ante variaciones de cada supuesto y del riesgo asociado.</w:t>
      </w:r>
    </w:p>
    <w:p w14:paraId="2DEC2902" w14:textId="2D1B1590" w:rsidR="001F5C6B" w:rsidRPr="00DB7173" w:rsidRDefault="001F5C6B" w:rsidP="00DB7173">
      <w:pPr>
        <w:spacing w:before="160" w:after="120" w:line="276" w:lineRule="auto"/>
        <w:ind w:right="851"/>
        <w:jc w:val="center"/>
        <w:rPr>
          <w:rFonts w:asciiTheme="minorHAnsi" w:hAnsiTheme="minorHAnsi" w:cstheme="minorHAnsi"/>
          <w:b/>
          <w:color w:val="000000"/>
          <w:sz w:val="20"/>
        </w:rPr>
      </w:pPr>
      <w:r w:rsidRPr="00DB7173">
        <w:rPr>
          <w:rFonts w:asciiTheme="minorHAnsi" w:hAnsiTheme="minorHAnsi" w:cstheme="minorHAnsi"/>
          <w:b/>
          <w:color w:val="000000"/>
          <w:sz w:val="20"/>
        </w:rPr>
        <w:t>Figura 3. Proceso de desarrollo del Módulo 3</w:t>
      </w:r>
      <w:r w:rsidR="008B499B" w:rsidRPr="00DB7173">
        <w:rPr>
          <w:rFonts w:asciiTheme="minorHAnsi" w:hAnsiTheme="minorHAnsi" w:cstheme="minorHAnsi"/>
          <w:noProof/>
        </w:rPr>
        <mc:AlternateContent>
          <mc:Choice Requires="wpg">
            <w:drawing>
              <wp:inline distT="0" distB="0" distL="0" distR="0" wp14:anchorId="0C08DA23" wp14:editId="4AA525FD">
                <wp:extent cx="5943600" cy="508000"/>
                <wp:effectExtent l="0" t="0" r="0" b="0"/>
                <wp:docPr id="2075975590" name="Figura"/>
                <wp:cNvGraphicFramePr/>
                <a:graphic xmlns:a="http://schemas.openxmlformats.org/drawingml/2006/main">
                  <a:graphicData uri="http://schemas.microsoft.com/office/word/2010/wordprocessingGroup">
                    <wpg:wgp>
                      <wpg:cNvGrpSpPr/>
                      <wpg:grpSpPr>
                        <a:xfrm>
                          <a:off x="0" y="0"/>
                          <a:ext cx="5943600" cy="508000"/>
                          <a:chOff x="0" y="0"/>
                          <a:chExt cx="5943600" cy="508000"/>
                        </a:xfrm>
                      </wpg:grpSpPr>
                      <wps:wsp>
                        <wps:cNvPr id="1670206060" name="B2"/>
                        <wps:cNvSpPr/>
                        <wps:spPr>
                          <a:xfrm>
                            <a:off x="0" y="0"/>
                            <a:ext cx="1219200" cy="508000"/>
                          </a:xfrm>
                          <a:prstGeom prst="roundRect">
                            <a:avLst/>
                          </a:prstGeom>
                          <a:solidFill>
                            <a:srgbClr val="DEEAF6"/>
                          </a:solidFill>
                          <a:ln w="12700">
                            <a:solidFill>
                              <a:srgbClr val="2E74B5"/>
                            </a:solidFill>
                          </a:ln>
                        </wps:spPr>
                        <wps:txbx>
                          <w:txbxContent>
                            <w:p w14:paraId="753FE363" w14:textId="77777777" w:rsidR="008B499B" w:rsidRDefault="008B499B">
                              <w:pPr>
                                <w:jc w:val="center"/>
                              </w:pPr>
                              <w:r>
                                <w:rPr>
                                  <w:color w:val="1F1F1F"/>
                                  <w:sz w:val="16"/>
                                </w:rPr>
                                <w:t>Modelo del flujo de caja</w:t>
                              </w:r>
                            </w:p>
                          </w:txbxContent>
                        </wps:txbx>
                        <wps:bodyPr lIns="27432" tIns="18288" rIns="27432" bIns="18288" anchor="ctr">
                          <a:noAutofit/>
                        </wps:bodyPr>
                      </wps:wsp>
                      <wps:wsp>
                        <wps:cNvPr id="343870302" name="A3"/>
                        <wps:cNvSpPr/>
                        <wps:spPr>
                          <a:xfrm>
                            <a:off x="1270000" y="165100"/>
                            <a:ext cx="254000" cy="177800"/>
                          </a:xfrm>
                          <a:prstGeom prst="rightArrow">
                            <a:avLst/>
                          </a:prstGeom>
                          <a:solidFill>
                            <a:srgbClr val="8EAADB"/>
                          </a:solidFill>
                          <a:ln>
                            <a:noFill/>
                          </a:ln>
                        </wps:spPr>
                        <wps:bodyPr/>
                      </wps:wsp>
                      <wps:wsp>
                        <wps:cNvPr id="14513040" name="B4"/>
                        <wps:cNvSpPr/>
                        <wps:spPr>
                          <a:xfrm>
                            <a:off x="1574800" y="0"/>
                            <a:ext cx="1219200" cy="508000"/>
                          </a:xfrm>
                          <a:prstGeom prst="roundRect">
                            <a:avLst/>
                          </a:prstGeom>
                          <a:solidFill>
                            <a:srgbClr val="DEEAF6"/>
                          </a:solidFill>
                          <a:ln w="12700">
                            <a:solidFill>
                              <a:srgbClr val="2E74B5"/>
                            </a:solidFill>
                          </a:ln>
                        </wps:spPr>
                        <wps:txbx>
                          <w:txbxContent>
                            <w:p w14:paraId="2C9A5D9C" w14:textId="77777777" w:rsidR="008B499B" w:rsidRDefault="008B499B">
                              <w:pPr>
                                <w:jc w:val="center"/>
                              </w:pPr>
                              <w:r>
                                <w:rPr>
                                  <w:color w:val="1F1F1F"/>
                                  <w:sz w:val="16"/>
                                </w:rPr>
                                <w:t>Ajuste de distribuciones</w:t>
                              </w:r>
                            </w:p>
                          </w:txbxContent>
                        </wps:txbx>
                        <wps:bodyPr lIns="27432" tIns="18288" rIns="27432" bIns="18288" anchor="ctr">
                          <a:noAutofit/>
                        </wps:bodyPr>
                      </wps:wsp>
                      <wps:wsp>
                        <wps:cNvPr id="53161587" name="A5"/>
                        <wps:cNvSpPr/>
                        <wps:spPr>
                          <a:xfrm>
                            <a:off x="2844800" y="165100"/>
                            <a:ext cx="254000" cy="177800"/>
                          </a:xfrm>
                          <a:prstGeom prst="rightArrow">
                            <a:avLst/>
                          </a:prstGeom>
                          <a:solidFill>
                            <a:srgbClr val="8EAADB"/>
                          </a:solidFill>
                          <a:ln>
                            <a:noFill/>
                          </a:ln>
                        </wps:spPr>
                        <wps:bodyPr/>
                      </wps:wsp>
                      <wps:wsp>
                        <wps:cNvPr id="878279853" name="B6"/>
                        <wps:cNvSpPr/>
                        <wps:spPr>
                          <a:xfrm>
                            <a:off x="3149600" y="0"/>
                            <a:ext cx="1219200" cy="508000"/>
                          </a:xfrm>
                          <a:prstGeom prst="roundRect">
                            <a:avLst/>
                          </a:prstGeom>
                          <a:solidFill>
                            <a:srgbClr val="DEEAF6"/>
                          </a:solidFill>
                          <a:ln w="12700">
                            <a:solidFill>
                              <a:srgbClr val="2E74B5"/>
                            </a:solidFill>
                          </a:ln>
                        </wps:spPr>
                        <wps:txbx>
                          <w:txbxContent>
                            <w:p w14:paraId="32D65766" w14:textId="77777777" w:rsidR="008B499B" w:rsidRDefault="008B499B">
                              <w:pPr>
                                <w:jc w:val="center"/>
                              </w:pPr>
                              <w:r>
                                <w:rPr>
                                  <w:color w:val="1F1F1F"/>
                                  <w:sz w:val="16"/>
                                </w:rPr>
                                <w:t>Simulación en @Risk</w:t>
                              </w:r>
                            </w:p>
                          </w:txbxContent>
                        </wps:txbx>
                        <wps:bodyPr lIns="27432" tIns="18288" rIns="27432" bIns="18288" anchor="ctr">
                          <a:noAutofit/>
                        </wps:bodyPr>
                      </wps:wsp>
                      <wps:wsp>
                        <wps:cNvPr id="93784788" name="A7"/>
                        <wps:cNvSpPr/>
                        <wps:spPr>
                          <a:xfrm>
                            <a:off x="4419600" y="165100"/>
                            <a:ext cx="254000" cy="177800"/>
                          </a:xfrm>
                          <a:prstGeom prst="rightArrow">
                            <a:avLst/>
                          </a:prstGeom>
                          <a:solidFill>
                            <a:srgbClr val="8EAADB"/>
                          </a:solidFill>
                          <a:ln>
                            <a:noFill/>
                          </a:ln>
                        </wps:spPr>
                        <wps:bodyPr/>
                      </wps:wsp>
                      <wps:wsp>
                        <wps:cNvPr id="441561048" name="B8"/>
                        <wps:cNvSpPr/>
                        <wps:spPr>
                          <a:xfrm>
                            <a:off x="4724400" y="0"/>
                            <a:ext cx="1219200" cy="508000"/>
                          </a:xfrm>
                          <a:prstGeom prst="roundRect">
                            <a:avLst/>
                          </a:prstGeom>
                          <a:solidFill>
                            <a:srgbClr val="DEEAF6"/>
                          </a:solidFill>
                          <a:ln w="12700">
                            <a:solidFill>
                              <a:srgbClr val="2E74B5"/>
                            </a:solidFill>
                          </a:ln>
                        </wps:spPr>
                        <wps:txbx>
                          <w:txbxContent>
                            <w:p w14:paraId="2FF94E65" w14:textId="77777777" w:rsidR="008B499B" w:rsidRDefault="008B499B">
                              <w:pPr>
                                <w:jc w:val="center"/>
                              </w:pPr>
                              <w:r>
                                <w:rPr>
                                  <w:color w:val="1F1F1F"/>
                                  <w:sz w:val="16"/>
                                </w:rPr>
                                <w:t>Sensibilidad e informe</w:t>
                              </w:r>
                            </w:p>
                          </w:txbxContent>
                        </wps:txbx>
                        <wps:bodyPr lIns="27432" tIns="18288" rIns="27432" bIns="18288" anchor="ctr">
                          <a:noAutofit/>
                        </wps:bodyPr>
                      </wps:wsp>
                    </wpg:wgp>
                  </a:graphicData>
                </a:graphic>
              </wp:inline>
            </w:drawing>
          </mc:Choice>
          <mc:Fallback>
            <w:pict>
              <v:group w14:anchorId="0C08DA23" id="_x0000_s1049" style="width:468pt;height:40pt;mso-position-horizontal-relative:char;mso-position-vertical-relative:line" coordsize="59436,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">
                <v:roundrect id="B2" o:spid="_x0000_s1050" style="position:absolute;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" fillcolor="#deeaf6" strokecolor="#2e74b5" strokeweight="1pt">
                  <v:textbox inset="2.16pt,1.44pt,2.16pt,1.44pt">
                    <w:txbxContent>
                      <w:p w14:paraId="753FE363" w14:textId="77777777" w:rsidR="008B499B" w:rsidRDefault="008B499B">
                        <w:pPr>
                          <w:jc w:val="center"/>
                        </w:pPr>
                        <w:r>
                          <w:rPr>
                            <w:color w:val="1F1F1F"/>
                            <w:sz w:val="16"/>
                          </w:rPr>
                          <w:t>Modelo del flujo de caja</w:t>
                        </w:r>
                      </w:p>
                    </w:txbxContent>
                  </v:textbox>
                </v:roundrect>
                <v:shape id="A3" o:spid="_x0000_s1051" type="#_x0000_t13" style="position:absolute;left:12700;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" adj="14040" fillcolor="#8eaadb" stroked="f"/>
                <v:roundrect id="B4" o:spid="_x0000_s1052" style="position:absolute;left:15748;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" fillcolor="#deeaf6" strokecolor="#2e74b5" strokeweight="1pt">
                  <v:textbox inset="2.16pt,1.44pt,2.16pt,1.44pt">
                    <w:txbxContent>
                      <w:p w14:paraId="2C9A5D9C" w14:textId="77777777" w:rsidR="008B499B" w:rsidRDefault="008B499B">
                        <w:pPr>
                          <w:jc w:val="center"/>
                        </w:pPr>
                        <w:r>
                          <w:rPr>
                            <w:color w:val="1F1F1F"/>
                            <w:sz w:val="16"/>
                          </w:rPr>
                          <w:t>Ajuste de distribuciones</w:t>
                        </w:r>
                      </w:p>
                    </w:txbxContent>
                  </v:textbox>
                </v:roundrect>
                <v:shape id="A5" o:spid="_x0000_s1053" type="#_x0000_t13" style="position:absolute;left:28448;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" adj="14040" fillcolor="#8eaadb" stroked="f"/>
                <v:roundrect id="B6" o:spid="_x0000_s1054" style="position:absolute;left:31496;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" fillcolor="#deeaf6" strokecolor="#2e74b5" strokeweight="1pt">
                  <v:textbox inset="2.16pt,1.44pt,2.16pt,1.44pt">
                    <w:txbxContent>
                      <w:p w14:paraId="32D65766" w14:textId="77777777" w:rsidR="008B499B" w:rsidRDefault="008B499B">
                        <w:pPr>
                          <w:jc w:val="center"/>
                        </w:pPr>
                        <w:r>
                          <w:rPr>
                            <w:color w:val="1F1F1F"/>
                            <w:sz w:val="16"/>
                          </w:rPr>
                          <w:t>Simulación en @Risk</w:t>
                        </w:r>
                      </w:p>
                    </w:txbxContent>
                  </v:textbox>
                </v:roundrect>
                <v:shape id="A7" o:spid="_x0000_s1055" type="#_x0000_t13" style="position:absolute;left:44196;top:1651;width:254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" adj="14040" fillcolor="#8eaadb" stroked="f"/>
                <v:roundrect id="B8" o:spid="_x0000_s1056" style="position:absolute;left:47244;width:12192;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" fillcolor="#deeaf6" strokecolor="#2e74b5" strokeweight="1pt">
                  <v:textbox inset="2.16pt,1.44pt,2.16pt,1.44pt">
                    <w:txbxContent>
                      <w:p w14:paraId="2FF94E65" w14:textId="77777777" w:rsidR="008B499B" w:rsidRDefault="008B499B">
                        <w:pPr>
                          <w:jc w:val="center"/>
                        </w:pPr>
                        <w:r>
                          <w:rPr>
                            <w:color w:val="1F1F1F"/>
                            <w:sz w:val="16"/>
                          </w:rPr>
                          <w:t>Sensibilidad e informe</w:t>
                        </w:r>
                      </w:p>
                    </w:txbxContent>
                  </v:textbox>
                </v:roundrect>
                <w10:anchorlock/>
              </v:group>
            </w:pict>
          </mc:Fallback>
        </mc:AlternateContent>
      </w:r>
    </w:p>
    <w:p w14:paraId="55D2534F" w14:textId="694371A4" w:rsidR="00416A53" w:rsidRPr="00DB7173" w:rsidRDefault="00416A53" w:rsidP="00DB7173">
      <w:pPr>
        <w:spacing w:line="276" w:lineRule="auto"/>
        <w:ind w:right="851"/>
        <w:jc w:val="both"/>
        <w:rPr>
          <w:rFonts w:asciiTheme="minorHAnsi" w:hAnsiTheme="minorHAnsi" w:cstheme="minorHAnsi"/>
          <w:sz w:val="22"/>
          <w:szCs w:val="22"/>
          <w:lang w:val="es-MX"/>
        </w:rPr>
      </w:pPr>
    </w:p>
    <w:p w14:paraId="00D2D872" w14:textId="77777777" w:rsidR="00AF1217" w:rsidRPr="00DB7173" w:rsidRDefault="00AF1217" w:rsidP="00DB7173">
      <w:pPr>
        <w:numPr>
          <w:ilvl w:val="0"/>
          <w:numId w:val="2"/>
        </w:numPr>
        <w:spacing w:line="276" w:lineRule="auto"/>
        <w:ind w:right="851"/>
        <w:jc w:val="both"/>
        <w:rPr>
          <w:rFonts w:asciiTheme="minorHAnsi" w:hAnsiTheme="minorHAnsi" w:cstheme="minorHAnsi"/>
          <w:b/>
          <w:sz w:val="22"/>
          <w:szCs w:val="22"/>
        </w:rPr>
      </w:pPr>
      <w:r w:rsidRPr="00DB7173">
        <w:rPr>
          <w:rFonts w:asciiTheme="minorHAnsi" w:hAnsiTheme="minorHAnsi" w:cstheme="minorHAnsi"/>
          <w:b/>
          <w:sz w:val="22"/>
          <w:szCs w:val="22"/>
        </w:rPr>
        <w:t>EVALUACION</w:t>
      </w:r>
    </w:p>
    <w:p w14:paraId="33C63042" w14:textId="77777777" w:rsidR="00ED75FD" w:rsidRPr="00DB7173" w:rsidRDefault="00175322" w:rsidP="00DB7173">
      <w:p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Examen parcial</w:t>
      </w:r>
      <w:r w:rsidR="0040255F" w:rsidRPr="00DB7173">
        <w:rPr>
          <w:rFonts w:asciiTheme="minorHAnsi" w:hAnsiTheme="minorHAnsi" w:cstheme="minorHAnsi"/>
          <w:sz w:val="22"/>
          <w:szCs w:val="22"/>
          <w:lang w:val="es-MX"/>
        </w:rPr>
        <w:t xml:space="preserve"> 1: 2</w:t>
      </w:r>
      <w:r w:rsidR="00B52284" w:rsidRPr="00DB7173">
        <w:rPr>
          <w:rFonts w:asciiTheme="minorHAnsi" w:hAnsiTheme="minorHAnsi" w:cstheme="minorHAnsi"/>
          <w:sz w:val="22"/>
          <w:szCs w:val="22"/>
          <w:lang w:val="es-MX"/>
        </w:rPr>
        <w:t>0</w:t>
      </w:r>
      <w:r w:rsidR="0056420E" w:rsidRPr="00DB7173">
        <w:rPr>
          <w:rFonts w:asciiTheme="minorHAnsi" w:hAnsiTheme="minorHAnsi" w:cstheme="minorHAnsi"/>
          <w:sz w:val="22"/>
          <w:szCs w:val="22"/>
          <w:lang w:val="es-MX"/>
        </w:rPr>
        <w:t>%</w:t>
      </w:r>
    </w:p>
    <w:p w14:paraId="55361936" w14:textId="77777777" w:rsidR="0040255F" w:rsidRPr="00DB7173" w:rsidRDefault="0040255F" w:rsidP="00DB7173">
      <w:p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 xml:space="preserve">Examen </w:t>
      </w:r>
      <w:r w:rsidR="00B52284" w:rsidRPr="00DB7173">
        <w:rPr>
          <w:rFonts w:asciiTheme="minorHAnsi" w:hAnsiTheme="minorHAnsi" w:cstheme="minorHAnsi"/>
          <w:sz w:val="22"/>
          <w:szCs w:val="22"/>
          <w:lang w:val="es-MX"/>
        </w:rPr>
        <w:t>Final</w:t>
      </w:r>
      <w:r w:rsidRPr="00DB7173">
        <w:rPr>
          <w:rFonts w:asciiTheme="minorHAnsi" w:hAnsiTheme="minorHAnsi" w:cstheme="minorHAnsi"/>
          <w:sz w:val="22"/>
          <w:szCs w:val="22"/>
          <w:lang w:val="es-MX"/>
        </w:rPr>
        <w:t xml:space="preserve"> 2: </w:t>
      </w:r>
      <w:r w:rsidR="00B52284" w:rsidRPr="00DB7173">
        <w:rPr>
          <w:rFonts w:asciiTheme="minorHAnsi" w:hAnsiTheme="minorHAnsi" w:cstheme="minorHAnsi"/>
          <w:sz w:val="22"/>
          <w:szCs w:val="22"/>
          <w:lang w:val="es-MX"/>
        </w:rPr>
        <w:t>30</w:t>
      </w:r>
      <w:r w:rsidRPr="00DB7173">
        <w:rPr>
          <w:rFonts w:asciiTheme="minorHAnsi" w:hAnsiTheme="minorHAnsi" w:cstheme="minorHAnsi"/>
          <w:sz w:val="22"/>
          <w:szCs w:val="22"/>
          <w:lang w:val="es-MX"/>
        </w:rPr>
        <w:t>%</w:t>
      </w:r>
    </w:p>
    <w:p w14:paraId="17720BAB" w14:textId="77777777" w:rsidR="0040255F" w:rsidRPr="00DB7173" w:rsidRDefault="00B52284" w:rsidP="00DB7173">
      <w:pPr>
        <w:spacing w:line="276" w:lineRule="auto"/>
        <w:ind w:right="851"/>
        <w:jc w:val="both"/>
        <w:rPr>
          <w:rFonts w:asciiTheme="minorHAnsi" w:hAnsiTheme="minorHAnsi" w:cstheme="minorHAnsi"/>
          <w:sz w:val="22"/>
          <w:szCs w:val="22"/>
          <w:lang w:val="es-MX"/>
        </w:rPr>
      </w:pPr>
      <w:r w:rsidRPr="00DB7173">
        <w:rPr>
          <w:rFonts w:asciiTheme="minorHAnsi" w:hAnsiTheme="minorHAnsi" w:cstheme="minorHAnsi"/>
          <w:sz w:val="22"/>
          <w:szCs w:val="22"/>
          <w:lang w:val="es-MX"/>
        </w:rPr>
        <w:t xml:space="preserve">Seguimiento: </w:t>
      </w:r>
      <w:r w:rsidR="0040255F" w:rsidRPr="00DB7173">
        <w:rPr>
          <w:rFonts w:asciiTheme="minorHAnsi" w:hAnsiTheme="minorHAnsi" w:cstheme="minorHAnsi"/>
          <w:sz w:val="22"/>
          <w:szCs w:val="22"/>
          <w:lang w:val="es-MX"/>
        </w:rPr>
        <w:t>5</w:t>
      </w:r>
      <w:r w:rsidRPr="00DB7173">
        <w:rPr>
          <w:rFonts w:asciiTheme="minorHAnsi" w:hAnsiTheme="minorHAnsi" w:cstheme="minorHAnsi"/>
          <w:sz w:val="22"/>
          <w:szCs w:val="22"/>
          <w:lang w:val="es-MX"/>
        </w:rPr>
        <w:t>0</w:t>
      </w:r>
      <w:r w:rsidR="0040255F" w:rsidRPr="00DB7173">
        <w:rPr>
          <w:rFonts w:asciiTheme="minorHAnsi" w:hAnsiTheme="minorHAnsi" w:cstheme="minorHAnsi"/>
          <w:sz w:val="22"/>
          <w:szCs w:val="22"/>
          <w:lang w:val="es-MX"/>
        </w:rPr>
        <w:t>%</w:t>
      </w:r>
    </w:p>
    <w:p w14:paraId="778A2F12" w14:textId="77777777" w:rsidR="00AF1217" w:rsidRPr="00DB7173" w:rsidRDefault="00AF1217" w:rsidP="00DB7173">
      <w:pPr>
        <w:spacing w:line="276" w:lineRule="auto"/>
        <w:ind w:left="360" w:right="851"/>
        <w:jc w:val="both"/>
        <w:rPr>
          <w:rFonts w:asciiTheme="minorHAnsi" w:hAnsiTheme="minorHAnsi" w:cstheme="minorHAnsi"/>
          <w:sz w:val="22"/>
          <w:szCs w:val="22"/>
        </w:rPr>
      </w:pPr>
    </w:p>
    <w:p w14:paraId="0B3CBEED" w14:textId="77777777" w:rsidR="00AF1217" w:rsidRPr="00DB7173" w:rsidRDefault="00AF1217" w:rsidP="00DB7173">
      <w:pPr>
        <w:numPr>
          <w:ilvl w:val="0"/>
          <w:numId w:val="2"/>
        </w:numPr>
        <w:spacing w:line="276" w:lineRule="auto"/>
        <w:ind w:right="851"/>
        <w:jc w:val="both"/>
        <w:rPr>
          <w:rFonts w:asciiTheme="minorHAnsi" w:hAnsiTheme="minorHAnsi" w:cstheme="minorHAnsi"/>
          <w:b/>
          <w:sz w:val="22"/>
          <w:szCs w:val="22"/>
        </w:rPr>
      </w:pPr>
      <w:r w:rsidRPr="00DB7173">
        <w:rPr>
          <w:rFonts w:asciiTheme="minorHAnsi" w:hAnsiTheme="minorHAnsi" w:cstheme="minorHAnsi"/>
          <w:b/>
          <w:sz w:val="22"/>
          <w:szCs w:val="22"/>
        </w:rPr>
        <w:t>BIBLIOGRAFIA GENERAL</w:t>
      </w:r>
    </w:p>
    <w:p w14:paraId="6055CD38" w14:textId="77777777" w:rsidR="001F5C6B" w:rsidRPr="00DB7173" w:rsidRDefault="001F5C6B" w:rsidP="00DB7173">
      <w:pPr>
        <w:spacing w:line="276" w:lineRule="auto"/>
        <w:ind w:right="851"/>
        <w:jc w:val="both"/>
        <w:rPr>
          <w:rFonts w:asciiTheme="minorHAnsi" w:hAnsiTheme="minorHAnsi" w:cstheme="minorHAnsi"/>
          <w:sz w:val="22"/>
          <w:szCs w:val="22"/>
          <w:lang w:val="en-US" w:eastAsia="ar-SA"/>
        </w:rPr>
      </w:pPr>
    </w:p>
    <w:p w14:paraId="0AAD5292"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proofErr w:type="spellStart"/>
      <w:r w:rsidRPr="00DB7173">
        <w:rPr>
          <w:rFonts w:asciiTheme="minorHAnsi" w:hAnsiTheme="minorHAnsi" w:cstheme="minorHAnsi"/>
          <w:color w:val="000000"/>
          <w:sz w:val="20"/>
        </w:rPr>
        <w:t>Fernandes</w:t>
      </w:r>
      <w:proofErr w:type="spellEnd"/>
      <w:r w:rsidRPr="00DB7173">
        <w:rPr>
          <w:rFonts w:asciiTheme="minorHAnsi" w:hAnsiTheme="minorHAnsi" w:cstheme="minorHAnsi"/>
          <w:color w:val="000000"/>
          <w:sz w:val="20"/>
        </w:rPr>
        <w:t xml:space="preserve"> Bella, R. L. (2023). Gestión de riesgos en proyectos: un manual para el análisis de riesgos. Ediciones Nuestro Conocimiento.</w:t>
      </w:r>
    </w:p>
    <w:p w14:paraId="154A6533"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Gómez, E., &amp; Díez, J. (2020). Identificación y cuantificación de riesgos en proyectos (1.ª ed.). Medellín: Lito Impresos.</w:t>
      </w:r>
    </w:p>
    <w:p w14:paraId="3A12C35E" w14:textId="1F54DA60"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Gómez, E., Uribe, J., &amp; Mora, A. (2015). Análisis de riesgo en proyectos con @Risk (2.ª ed.). Medellín: Lito Impresos.</w:t>
      </w:r>
    </w:p>
    <w:p w14:paraId="1919936D"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Hillson, D., &amp; </w:t>
      </w:r>
      <w:proofErr w:type="spellStart"/>
      <w:r w:rsidRPr="00DB7173">
        <w:rPr>
          <w:rFonts w:asciiTheme="minorHAnsi" w:hAnsiTheme="minorHAnsi" w:cstheme="minorHAnsi"/>
          <w:color w:val="000000"/>
          <w:sz w:val="20"/>
        </w:rPr>
        <w:t>Simon</w:t>
      </w:r>
      <w:proofErr w:type="spellEnd"/>
      <w:r w:rsidRPr="00DB7173">
        <w:rPr>
          <w:rFonts w:asciiTheme="minorHAnsi" w:hAnsiTheme="minorHAnsi" w:cstheme="minorHAnsi"/>
          <w:color w:val="000000"/>
          <w:sz w:val="20"/>
        </w:rPr>
        <w:t xml:space="preserve">, P. (2020). </w:t>
      </w:r>
      <w:proofErr w:type="spellStart"/>
      <w:r w:rsidRPr="00DB7173">
        <w:rPr>
          <w:rFonts w:asciiTheme="minorHAnsi" w:hAnsiTheme="minorHAnsi" w:cstheme="minorHAnsi"/>
          <w:color w:val="000000"/>
          <w:sz w:val="20"/>
        </w:rPr>
        <w:t>Practical</w:t>
      </w:r>
      <w:proofErr w:type="spellEnd"/>
      <w:r w:rsidRPr="00DB7173">
        <w:rPr>
          <w:rFonts w:asciiTheme="minorHAnsi" w:hAnsiTheme="minorHAnsi" w:cstheme="minorHAnsi"/>
          <w:color w:val="000000"/>
          <w:sz w:val="20"/>
        </w:rPr>
        <w:t xml:space="preserve"> Project Risk Management: The ATOM </w:t>
      </w:r>
      <w:proofErr w:type="spellStart"/>
      <w:r w:rsidRPr="00DB7173">
        <w:rPr>
          <w:rFonts w:asciiTheme="minorHAnsi" w:hAnsiTheme="minorHAnsi" w:cstheme="minorHAnsi"/>
          <w:color w:val="000000"/>
          <w:sz w:val="20"/>
        </w:rPr>
        <w:t>Methodology</w:t>
      </w:r>
      <w:proofErr w:type="spellEnd"/>
      <w:r w:rsidRPr="00DB7173">
        <w:rPr>
          <w:rFonts w:asciiTheme="minorHAnsi" w:hAnsiTheme="minorHAnsi" w:cstheme="minorHAnsi"/>
          <w:color w:val="000000"/>
          <w:sz w:val="20"/>
        </w:rPr>
        <w:t xml:space="preserve"> (3rd ed.). Oakland: Berrett-Koehler </w:t>
      </w:r>
      <w:proofErr w:type="spellStart"/>
      <w:r w:rsidRPr="00DB7173">
        <w:rPr>
          <w:rFonts w:asciiTheme="minorHAnsi" w:hAnsiTheme="minorHAnsi" w:cstheme="minorHAnsi"/>
          <w:color w:val="000000"/>
          <w:sz w:val="20"/>
        </w:rPr>
        <w:t>Publishers</w:t>
      </w:r>
      <w:proofErr w:type="spellEnd"/>
      <w:r w:rsidRPr="00DB7173">
        <w:rPr>
          <w:rFonts w:asciiTheme="minorHAnsi" w:hAnsiTheme="minorHAnsi" w:cstheme="minorHAnsi"/>
          <w:color w:val="000000"/>
          <w:sz w:val="20"/>
        </w:rPr>
        <w:t>.</w:t>
      </w:r>
    </w:p>
    <w:p w14:paraId="3338C5EA" w14:textId="799D0D71"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International </w:t>
      </w:r>
      <w:proofErr w:type="spellStart"/>
      <w:r w:rsidRPr="00DB7173">
        <w:rPr>
          <w:rFonts w:asciiTheme="minorHAnsi" w:hAnsiTheme="minorHAnsi" w:cstheme="minorHAnsi"/>
          <w:color w:val="000000"/>
          <w:sz w:val="20"/>
        </w:rPr>
        <w:t>Organization</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for</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Standardization</w:t>
      </w:r>
      <w:proofErr w:type="spellEnd"/>
      <w:r w:rsidRPr="00DB7173">
        <w:rPr>
          <w:rFonts w:asciiTheme="minorHAnsi" w:hAnsiTheme="minorHAnsi" w:cstheme="minorHAnsi"/>
          <w:color w:val="000000"/>
          <w:sz w:val="20"/>
        </w:rPr>
        <w:t>. (2018). ISO 31000:2018 Gestión del riesgo — Directrices. Ginebra: ISO. (Norma vigente de referencia).</w:t>
      </w:r>
    </w:p>
    <w:p w14:paraId="120F9A1A"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Project Management </w:t>
      </w:r>
      <w:proofErr w:type="spellStart"/>
      <w:r w:rsidRPr="00DB7173">
        <w:rPr>
          <w:rFonts w:asciiTheme="minorHAnsi" w:hAnsiTheme="minorHAnsi" w:cstheme="minorHAnsi"/>
          <w:color w:val="000000"/>
          <w:sz w:val="20"/>
        </w:rPr>
        <w:t>Institute</w:t>
      </w:r>
      <w:proofErr w:type="spellEnd"/>
      <w:r w:rsidRPr="00DB7173">
        <w:rPr>
          <w:rFonts w:asciiTheme="minorHAnsi" w:hAnsiTheme="minorHAnsi" w:cstheme="minorHAnsi"/>
          <w:color w:val="000000"/>
          <w:sz w:val="20"/>
        </w:rPr>
        <w:t>. (2021). Guía de los fundamentos para la dirección de proyectos (Guía del PMBOK) (7.ª ed.) y El estándar para la dirección de proyectos. Newtown Square, PA: PMI.</w:t>
      </w:r>
    </w:p>
    <w:p w14:paraId="1CAAE595"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Project Management </w:t>
      </w:r>
      <w:proofErr w:type="spellStart"/>
      <w:r w:rsidRPr="00DB7173">
        <w:rPr>
          <w:rFonts w:asciiTheme="minorHAnsi" w:hAnsiTheme="minorHAnsi" w:cstheme="minorHAnsi"/>
          <w:color w:val="000000"/>
          <w:sz w:val="20"/>
        </w:rPr>
        <w:t>Institute</w:t>
      </w:r>
      <w:proofErr w:type="spellEnd"/>
      <w:r w:rsidRPr="00DB7173">
        <w:rPr>
          <w:rFonts w:asciiTheme="minorHAnsi" w:hAnsiTheme="minorHAnsi" w:cstheme="minorHAnsi"/>
          <w:color w:val="000000"/>
          <w:sz w:val="20"/>
        </w:rPr>
        <w:t xml:space="preserve">. (2022). Process </w:t>
      </w:r>
      <w:proofErr w:type="spellStart"/>
      <w:r w:rsidRPr="00DB7173">
        <w:rPr>
          <w:rFonts w:asciiTheme="minorHAnsi" w:hAnsiTheme="minorHAnsi" w:cstheme="minorHAnsi"/>
          <w:color w:val="000000"/>
          <w:sz w:val="20"/>
        </w:rPr>
        <w:t>Groups</w:t>
      </w:r>
      <w:proofErr w:type="spellEnd"/>
      <w:r w:rsidRPr="00DB7173">
        <w:rPr>
          <w:rFonts w:asciiTheme="minorHAnsi" w:hAnsiTheme="minorHAnsi" w:cstheme="minorHAnsi"/>
          <w:color w:val="000000"/>
          <w:sz w:val="20"/>
        </w:rPr>
        <w:t xml:space="preserve">: A </w:t>
      </w:r>
      <w:proofErr w:type="spellStart"/>
      <w:r w:rsidRPr="00DB7173">
        <w:rPr>
          <w:rFonts w:asciiTheme="minorHAnsi" w:hAnsiTheme="minorHAnsi" w:cstheme="minorHAnsi"/>
          <w:color w:val="000000"/>
          <w:sz w:val="20"/>
        </w:rPr>
        <w:t>Practice</w:t>
      </w:r>
      <w:proofErr w:type="spellEnd"/>
      <w:r w:rsidRPr="00DB7173">
        <w:rPr>
          <w:rFonts w:asciiTheme="minorHAnsi" w:hAnsiTheme="minorHAnsi" w:cstheme="minorHAnsi"/>
          <w:color w:val="000000"/>
          <w:sz w:val="20"/>
        </w:rPr>
        <w:t xml:space="preserve"> Guide. Newtown Square, PA: PMI.</w:t>
      </w:r>
    </w:p>
    <w:p w14:paraId="637DDEFE"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Project Management </w:t>
      </w:r>
      <w:proofErr w:type="spellStart"/>
      <w:r w:rsidRPr="00DB7173">
        <w:rPr>
          <w:rFonts w:asciiTheme="minorHAnsi" w:hAnsiTheme="minorHAnsi" w:cstheme="minorHAnsi"/>
          <w:color w:val="000000"/>
          <w:sz w:val="20"/>
        </w:rPr>
        <w:t>Institute</w:t>
      </w:r>
      <w:proofErr w:type="spellEnd"/>
      <w:r w:rsidRPr="00DB7173">
        <w:rPr>
          <w:rFonts w:asciiTheme="minorHAnsi" w:hAnsiTheme="minorHAnsi" w:cstheme="minorHAnsi"/>
          <w:color w:val="000000"/>
          <w:sz w:val="20"/>
        </w:rPr>
        <w:t xml:space="preserve">. (2025). A Guide </w:t>
      </w:r>
      <w:proofErr w:type="spellStart"/>
      <w:r w:rsidRPr="00DB7173">
        <w:rPr>
          <w:rFonts w:asciiTheme="minorHAnsi" w:hAnsiTheme="minorHAnsi" w:cstheme="minorHAnsi"/>
          <w:color w:val="000000"/>
          <w:sz w:val="20"/>
        </w:rPr>
        <w:t>to</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the</w:t>
      </w:r>
      <w:proofErr w:type="spellEnd"/>
      <w:r w:rsidRPr="00DB7173">
        <w:rPr>
          <w:rFonts w:asciiTheme="minorHAnsi" w:hAnsiTheme="minorHAnsi" w:cstheme="minorHAnsi"/>
          <w:color w:val="000000"/>
          <w:sz w:val="20"/>
        </w:rPr>
        <w:t xml:space="preserve"> Project Management Body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Knowledge (PMBOK Guide) (8th ed.). Newtown Square, PA: PMI.</w:t>
      </w:r>
    </w:p>
    <w:p w14:paraId="1FB4EF55"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p>
    <w:p w14:paraId="057B163C" w14:textId="77777777" w:rsidR="001F5C6B" w:rsidRPr="00DB7173" w:rsidRDefault="001F5C6B" w:rsidP="00DB7173">
      <w:pPr>
        <w:spacing w:after="120" w:line="276" w:lineRule="auto"/>
        <w:ind w:right="851"/>
        <w:jc w:val="both"/>
        <w:rPr>
          <w:rFonts w:asciiTheme="minorHAnsi" w:hAnsiTheme="minorHAnsi" w:cstheme="minorHAnsi"/>
          <w:b/>
          <w:color w:val="000000"/>
          <w:sz w:val="22"/>
        </w:rPr>
      </w:pPr>
      <w:r w:rsidRPr="00DB7173">
        <w:rPr>
          <w:rFonts w:asciiTheme="minorHAnsi" w:hAnsiTheme="minorHAnsi" w:cstheme="minorHAnsi"/>
          <w:b/>
          <w:color w:val="000000"/>
          <w:sz w:val="22"/>
        </w:rPr>
        <w:t>BIBLIOGRAFIA COMPLEMENTARIA (OPCIONAL)</w:t>
      </w:r>
    </w:p>
    <w:p w14:paraId="3193C2C1"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Aven, T. (2015). Risk </w:t>
      </w:r>
      <w:proofErr w:type="spellStart"/>
      <w:r w:rsidRPr="00DB7173">
        <w:rPr>
          <w:rFonts w:asciiTheme="minorHAnsi" w:hAnsiTheme="minorHAnsi" w:cstheme="minorHAnsi"/>
          <w:color w:val="000000"/>
          <w:sz w:val="20"/>
        </w:rPr>
        <w:t>Analysis</w:t>
      </w:r>
      <w:proofErr w:type="spellEnd"/>
      <w:r w:rsidRPr="00DB7173">
        <w:rPr>
          <w:rFonts w:asciiTheme="minorHAnsi" w:hAnsiTheme="minorHAnsi" w:cstheme="minorHAnsi"/>
          <w:color w:val="000000"/>
          <w:sz w:val="20"/>
        </w:rPr>
        <w:t xml:space="preserve"> (2nd ed.). Chichester: John Wiley &amp; Sons.</w:t>
      </w:r>
    </w:p>
    <w:p w14:paraId="478F2402"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Bernstein, P. L. (1996). </w:t>
      </w:r>
      <w:proofErr w:type="spellStart"/>
      <w:r w:rsidRPr="00DB7173">
        <w:rPr>
          <w:rFonts w:asciiTheme="minorHAnsi" w:hAnsiTheme="minorHAnsi" w:cstheme="minorHAnsi"/>
          <w:color w:val="000000"/>
          <w:sz w:val="20"/>
        </w:rPr>
        <w:t>Against</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the</w:t>
      </w:r>
      <w:proofErr w:type="spellEnd"/>
      <w:r w:rsidRPr="00DB7173">
        <w:rPr>
          <w:rFonts w:asciiTheme="minorHAnsi" w:hAnsiTheme="minorHAnsi" w:cstheme="minorHAnsi"/>
          <w:color w:val="000000"/>
          <w:sz w:val="20"/>
        </w:rPr>
        <w:t xml:space="preserve"> Gods: The </w:t>
      </w:r>
      <w:proofErr w:type="spellStart"/>
      <w:r w:rsidRPr="00DB7173">
        <w:rPr>
          <w:rFonts w:asciiTheme="minorHAnsi" w:hAnsiTheme="minorHAnsi" w:cstheme="minorHAnsi"/>
          <w:color w:val="000000"/>
          <w:sz w:val="20"/>
        </w:rPr>
        <w:t>Remarkable</w:t>
      </w:r>
      <w:proofErr w:type="spellEnd"/>
      <w:r w:rsidRPr="00DB7173">
        <w:rPr>
          <w:rFonts w:asciiTheme="minorHAnsi" w:hAnsiTheme="minorHAnsi" w:cstheme="minorHAnsi"/>
          <w:color w:val="000000"/>
          <w:sz w:val="20"/>
        </w:rPr>
        <w:t xml:space="preserve"> Story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Risk. New York: John Wiley &amp; Sons.</w:t>
      </w:r>
    </w:p>
    <w:p w14:paraId="227AA161"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lastRenderedPageBreak/>
        <w:t xml:space="preserve">Chapman, C., &amp; Ward, S. (2011). How </w:t>
      </w:r>
      <w:proofErr w:type="spellStart"/>
      <w:r w:rsidRPr="00DB7173">
        <w:rPr>
          <w:rFonts w:asciiTheme="minorHAnsi" w:hAnsiTheme="minorHAnsi" w:cstheme="minorHAnsi"/>
          <w:color w:val="000000"/>
          <w:sz w:val="20"/>
        </w:rPr>
        <w:t>to</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Manage</w:t>
      </w:r>
      <w:proofErr w:type="spellEnd"/>
      <w:r w:rsidRPr="00DB7173">
        <w:rPr>
          <w:rFonts w:asciiTheme="minorHAnsi" w:hAnsiTheme="minorHAnsi" w:cstheme="minorHAnsi"/>
          <w:color w:val="000000"/>
          <w:sz w:val="20"/>
        </w:rPr>
        <w:t xml:space="preserve"> Project </w:t>
      </w:r>
      <w:proofErr w:type="spellStart"/>
      <w:r w:rsidRPr="00DB7173">
        <w:rPr>
          <w:rFonts w:asciiTheme="minorHAnsi" w:hAnsiTheme="minorHAnsi" w:cstheme="minorHAnsi"/>
          <w:color w:val="000000"/>
          <w:sz w:val="20"/>
        </w:rPr>
        <w:t>Opportunity</w:t>
      </w:r>
      <w:proofErr w:type="spellEnd"/>
      <w:r w:rsidRPr="00DB7173">
        <w:rPr>
          <w:rFonts w:asciiTheme="minorHAnsi" w:hAnsiTheme="minorHAnsi" w:cstheme="minorHAnsi"/>
          <w:color w:val="000000"/>
          <w:sz w:val="20"/>
        </w:rPr>
        <w:t xml:space="preserve"> and Risk (3rd ed.). Chichester: John Wiley &amp; Sons.</w:t>
      </w:r>
    </w:p>
    <w:p w14:paraId="4AAD5DCB"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proofErr w:type="spellStart"/>
      <w:r w:rsidRPr="00DB7173">
        <w:rPr>
          <w:rFonts w:asciiTheme="minorHAnsi" w:hAnsiTheme="minorHAnsi" w:cstheme="minorHAnsi"/>
          <w:color w:val="000000"/>
          <w:sz w:val="20"/>
        </w:rPr>
        <w:t>Committee</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Sponsoring</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Organizations</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the</w:t>
      </w:r>
      <w:proofErr w:type="spellEnd"/>
      <w:r w:rsidRPr="00DB7173">
        <w:rPr>
          <w:rFonts w:asciiTheme="minorHAnsi" w:hAnsiTheme="minorHAnsi" w:cstheme="minorHAnsi"/>
          <w:color w:val="000000"/>
          <w:sz w:val="20"/>
        </w:rPr>
        <w:t xml:space="preserve"> Treadway </w:t>
      </w:r>
      <w:proofErr w:type="spellStart"/>
      <w:r w:rsidRPr="00DB7173">
        <w:rPr>
          <w:rFonts w:asciiTheme="minorHAnsi" w:hAnsiTheme="minorHAnsi" w:cstheme="minorHAnsi"/>
          <w:color w:val="000000"/>
          <w:sz w:val="20"/>
        </w:rPr>
        <w:t>Commission</w:t>
      </w:r>
      <w:proofErr w:type="spellEnd"/>
      <w:r w:rsidRPr="00DB7173">
        <w:rPr>
          <w:rFonts w:asciiTheme="minorHAnsi" w:hAnsiTheme="minorHAnsi" w:cstheme="minorHAnsi"/>
          <w:color w:val="000000"/>
          <w:sz w:val="20"/>
        </w:rPr>
        <w:t xml:space="preserve"> (COSO). (2017). Enterprise Risk Management: </w:t>
      </w:r>
      <w:proofErr w:type="spellStart"/>
      <w:r w:rsidRPr="00DB7173">
        <w:rPr>
          <w:rFonts w:asciiTheme="minorHAnsi" w:hAnsiTheme="minorHAnsi" w:cstheme="minorHAnsi"/>
          <w:color w:val="000000"/>
          <w:sz w:val="20"/>
        </w:rPr>
        <w:t>Integrating</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with</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Strategy</w:t>
      </w:r>
      <w:proofErr w:type="spellEnd"/>
      <w:r w:rsidRPr="00DB7173">
        <w:rPr>
          <w:rFonts w:asciiTheme="minorHAnsi" w:hAnsiTheme="minorHAnsi" w:cstheme="minorHAnsi"/>
          <w:color w:val="000000"/>
          <w:sz w:val="20"/>
        </w:rPr>
        <w:t xml:space="preserve"> and Performance. Nueva York: COSO.</w:t>
      </w:r>
    </w:p>
    <w:p w14:paraId="52211BEB"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Hubbard, D. W. (2020). The </w:t>
      </w:r>
      <w:proofErr w:type="spellStart"/>
      <w:r w:rsidRPr="00DB7173">
        <w:rPr>
          <w:rFonts w:asciiTheme="minorHAnsi" w:hAnsiTheme="minorHAnsi" w:cstheme="minorHAnsi"/>
          <w:color w:val="000000"/>
          <w:sz w:val="20"/>
        </w:rPr>
        <w:t>Failure</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Risk Management: Why </w:t>
      </w:r>
      <w:proofErr w:type="spellStart"/>
      <w:r w:rsidRPr="00DB7173">
        <w:rPr>
          <w:rFonts w:asciiTheme="minorHAnsi" w:hAnsiTheme="minorHAnsi" w:cstheme="minorHAnsi"/>
          <w:color w:val="000000"/>
          <w:sz w:val="20"/>
        </w:rPr>
        <w:t>It's</w:t>
      </w:r>
      <w:proofErr w:type="spellEnd"/>
      <w:r w:rsidRPr="00DB7173">
        <w:rPr>
          <w:rFonts w:asciiTheme="minorHAnsi" w:hAnsiTheme="minorHAnsi" w:cstheme="minorHAnsi"/>
          <w:color w:val="000000"/>
          <w:sz w:val="20"/>
        </w:rPr>
        <w:t xml:space="preserve"> Broken and How </w:t>
      </w:r>
      <w:proofErr w:type="spellStart"/>
      <w:r w:rsidRPr="00DB7173">
        <w:rPr>
          <w:rFonts w:asciiTheme="minorHAnsi" w:hAnsiTheme="minorHAnsi" w:cstheme="minorHAnsi"/>
          <w:color w:val="000000"/>
          <w:sz w:val="20"/>
        </w:rPr>
        <w:t>to</w:t>
      </w:r>
      <w:proofErr w:type="spellEnd"/>
      <w:r w:rsidRPr="00DB7173">
        <w:rPr>
          <w:rFonts w:asciiTheme="minorHAnsi" w:hAnsiTheme="minorHAnsi" w:cstheme="minorHAnsi"/>
          <w:color w:val="000000"/>
          <w:sz w:val="20"/>
        </w:rPr>
        <w:t xml:space="preserve"> Fix </w:t>
      </w:r>
      <w:proofErr w:type="spellStart"/>
      <w:r w:rsidRPr="00DB7173">
        <w:rPr>
          <w:rFonts w:asciiTheme="minorHAnsi" w:hAnsiTheme="minorHAnsi" w:cstheme="minorHAnsi"/>
          <w:color w:val="000000"/>
          <w:sz w:val="20"/>
        </w:rPr>
        <w:t>It</w:t>
      </w:r>
      <w:proofErr w:type="spellEnd"/>
      <w:r w:rsidRPr="00DB7173">
        <w:rPr>
          <w:rFonts w:asciiTheme="minorHAnsi" w:hAnsiTheme="minorHAnsi" w:cstheme="minorHAnsi"/>
          <w:color w:val="000000"/>
          <w:sz w:val="20"/>
        </w:rPr>
        <w:t xml:space="preserve"> (2nd ed.). </w:t>
      </w:r>
      <w:proofErr w:type="spellStart"/>
      <w:r w:rsidRPr="00DB7173">
        <w:rPr>
          <w:rFonts w:asciiTheme="minorHAnsi" w:hAnsiTheme="minorHAnsi" w:cstheme="minorHAnsi"/>
          <w:color w:val="000000"/>
          <w:sz w:val="20"/>
        </w:rPr>
        <w:t>Hoboken</w:t>
      </w:r>
      <w:proofErr w:type="spellEnd"/>
      <w:r w:rsidRPr="00DB7173">
        <w:rPr>
          <w:rFonts w:asciiTheme="minorHAnsi" w:hAnsiTheme="minorHAnsi" w:cstheme="minorHAnsi"/>
          <w:color w:val="000000"/>
          <w:sz w:val="20"/>
        </w:rPr>
        <w:t>: John Wiley &amp; Sons.</w:t>
      </w:r>
    </w:p>
    <w:p w14:paraId="3BA0E181"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Hulett, D. (2009). </w:t>
      </w:r>
      <w:proofErr w:type="spellStart"/>
      <w:r w:rsidRPr="00DB7173">
        <w:rPr>
          <w:rFonts w:asciiTheme="minorHAnsi" w:hAnsiTheme="minorHAnsi" w:cstheme="minorHAnsi"/>
          <w:color w:val="000000"/>
          <w:sz w:val="20"/>
        </w:rPr>
        <w:t>Practical</w:t>
      </w:r>
      <w:proofErr w:type="spellEnd"/>
      <w:r w:rsidRPr="00DB7173">
        <w:rPr>
          <w:rFonts w:asciiTheme="minorHAnsi" w:hAnsiTheme="minorHAnsi" w:cstheme="minorHAnsi"/>
          <w:color w:val="000000"/>
          <w:sz w:val="20"/>
        </w:rPr>
        <w:t xml:space="preserve"> Schedule Risk </w:t>
      </w:r>
      <w:proofErr w:type="spellStart"/>
      <w:r w:rsidRPr="00DB7173">
        <w:rPr>
          <w:rFonts w:asciiTheme="minorHAnsi" w:hAnsiTheme="minorHAnsi" w:cstheme="minorHAnsi"/>
          <w:color w:val="000000"/>
          <w:sz w:val="20"/>
        </w:rPr>
        <w:t>Analysis</w:t>
      </w:r>
      <w:proofErr w:type="spellEnd"/>
      <w:r w:rsidRPr="00DB7173">
        <w:rPr>
          <w:rFonts w:asciiTheme="minorHAnsi" w:hAnsiTheme="minorHAnsi" w:cstheme="minorHAnsi"/>
          <w:color w:val="000000"/>
          <w:sz w:val="20"/>
        </w:rPr>
        <w:t>. Farnham: Gower Publishing.</w:t>
      </w:r>
    </w:p>
    <w:p w14:paraId="119A4955"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International </w:t>
      </w:r>
      <w:proofErr w:type="spellStart"/>
      <w:r w:rsidRPr="00DB7173">
        <w:rPr>
          <w:rFonts w:asciiTheme="minorHAnsi" w:hAnsiTheme="minorHAnsi" w:cstheme="minorHAnsi"/>
          <w:color w:val="000000"/>
          <w:sz w:val="20"/>
        </w:rPr>
        <w:t>Organization</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for</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Standardization</w:t>
      </w:r>
      <w:proofErr w:type="spellEnd"/>
      <w:r w:rsidRPr="00DB7173">
        <w:rPr>
          <w:rFonts w:asciiTheme="minorHAnsi" w:hAnsiTheme="minorHAnsi" w:cstheme="minorHAnsi"/>
          <w:color w:val="000000"/>
          <w:sz w:val="20"/>
        </w:rPr>
        <w:t xml:space="preserve"> / International </w:t>
      </w:r>
      <w:proofErr w:type="spellStart"/>
      <w:r w:rsidRPr="00DB7173">
        <w:rPr>
          <w:rFonts w:asciiTheme="minorHAnsi" w:hAnsiTheme="minorHAnsi" w:cstheme="minorHAnsi"/>
          <w:color w:val="000000"/>
          <w:sz w:val="20"/>
        </w:rPr>
        <w:t>Electrotechnical</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Commission</w:t>
      </w:r>
      <w:proofErr w:type="spellEnd"/>
      <w:r w:rsidRPr="00DB7173">
        <w:rPr>
          <w:rFonts w:asciiTheme="minorHAnsi" w:hAnsiTheme="minorHAnsi" w:cstheme="minorHAnsi"/>
          <w:color w:val="000000"/>
          <w:sz w:val="20"/>
        </w:rPr>
        <w:t xml:space="preserve">. (2019). IEC 31010:2019 Risk </w:t>
      </w:r>
      <w:proofErr w:type="spellStart"/>
      <w:r w:rsidRPr="00DB7173">
        <w:rPr>
          <w:rFonts w:asciiTheme="minorHAnsi" w:hAnsiTheme="minorHAnsi" w:cstheme="minorHAnsi"/>
          <w:color w:val="000000"/>
          <w:sz w:val="20"/>
        </w:rPr>
        <w:t>management</w:t>
      </w:r>
      <w:proofErr w:type="spellEnd"/>
      <w:r w:rsidRPr="00DB7173">
        <w:rPr>
          <w:rFonts w:asciiTheme="minorHAnsi" w:hAnsiTheme="minorHAnsi" w:cstheme="minorHAnsi"/>
          <w:color w:val="000000"/>
          <w:sz w:val="20"/>
        </w:rPr>
        <w:t xml:space="preserve"> — Risk </w:t>
      </w:r>
      <w:proofErr w:type="spellStart"/>
      <w:r w:rsidRPr="00DB7173">
        <w:rPr>
          <w:rFonts w:asciiTheme="minorHAnsi" w:hAnsiTheme="minorHAnsi" w:cstheme="minorHAnsi"/>
          <w:color w:val="000000"/>
          <w:sz w:val="20"/>
        </w:rPr>
        <w:t>assessment</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techniques</w:t>
      </w:r>
      <w:proofErr w:type="spellEnd"/>
      <w:r w:rsidRPr="00DB7173">
        <w:rPr>
          <w:rFonts w:asciiTheme="minorHAnsi" w:hAnsiTheme="minorHAnsi" w:cstheme="minorHAnsi"/>
          <w:color w:val="000000"/>
          <w:sz w:val="20"/>
        </w:rPr>
        <w:t>. Ginebra: ISO/IEC.</w:t>
      </w:r>
    </w:p>
    <w:p w14:paraId="5A142BE8"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Kerzner, H. (2022). Project Management: A </w:t>
      </w:r>
      <w:proofErr w:type="spellStart"/>
      <w:r w:rsidRPr="00DB7173">
        <w:rPr>
          <w:rFonts w:asciiTheme="minorHAnsi" w:hAnsiTheme="minorHAnsi" w:cstheme="minorHAnsi"/>
          <w:color w:val="000000"/>
          <w:sz w:val="20"/>
        </w:rPr>
        <w:t>Systems</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Approach</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to</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Planning</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Scheduling</w:t>
      </w:r>
      <w:proofErr w:type="spellEnd"/>
      <w:r w:rsidRPr="00DB7173">
        <w:rPr>
          <w:rFonts w:asciiTheme="minorHAnsi" w:hAnsiTheme="minorHAnsi" w:cstheme="minorHAnsi"/>
          <w:color w:val="000000"/>
          <w:sz w:val="20"/>
        </w:rPr>
        <w:t xml:space="preserve">, and </w:t>
      </w:r>
      <w:proofErr w:type="spellStart"/>
      <w:r w:rsidRPr="00DB7173">
        <w:rPr>
          <w:rFonts w:asciiTheme="minorHAnsi" w:hAnsiTheme="minorHAnsi" w:cstheme="minorHAnsi"/>
          <w:color w:val="000000"/>
          <w:sz w:val="20"/>
        </w:rPr>
        <w:t>Controlling</w:t>
      </w:r>
      <w:proofErr w:type="spellEnd"/>
      <w:r w:rsidRPr="00DB7173">
        <w:rPr>
          <w:rFonts w:asciiTheme="minorHAnsi" w:hAnsiTheme="minorHAnsi" w:cstheme="minorHAnsi"/>
          <w:color w:val="000000"/>
          <w:sz w:val="20"/>
        </w:rPr>
        <w:t xml:space="preserve"> (13th ed.). </w:t>
      </w:r>
      <w:proofErr w:type="spellStart"/>
      <w:r w:rsidRPr="00DB7173">
        <w:rPr>
          <w:rFonts w:asciiTheme="minorHAnsi" w:hAnsiTheme="minorHAnsi" w:cstheme="minorHAnsi"/>
          <w:color w:val="000000"/>
          <w:sz w:val="20"/>
        </w:rPr>
        <w:t>Hoboken</w:t>
      </w:r>
      <w:proofErr w:type="spellEnd"/>
      <w:r w:rsidRPr="00DB7173">
        <w:rPr>
          <w:rFonts w:asciiTheme="minorHAnsi" w:hAnsiTheme="minorHAnsi" w:cstheme="minorHAnsi"/>
          <w:color w:val="000000"/>
          <w:sz w:val="20"/>
        </w:rPr>
        <w:t>: John Wiley &amp; Sons.</w:t>
      </w:r>
    </w:p>
    <w:p w14:paraId="721755DA" w14:textId="77777777" w:rsidR="001F5C6B"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Savage, S. L. (2012). The </w:t>
      </w:r>
      <w:proofErr w:type="spellStart"/>
      <w:r w:rsidRPr="00DB7173">
        <w:rPr>
          <w:rFonts w:asciiTheme="minorHAnsi" w:hAnsiTheme="minorHAnsi" w:cstheme="minorHAnsi"/>
          <w:color w:val="000000"/>
          <w:sz w:val="20"/>
        </w:rPr>
        <w:t>Flaw</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Averages</w:t>
      </w:r>
      <w:proofErr w:type="spellEnd"/>
      <w:r w:rsidRPr="00DB7173">
        <w:rPr>
          <w:rFonts w:asciiTheme="minorHAnsi" w:hAnsiTheme="minorHAnsi" w:cstheme="minorHAnsi"/>
          <w:color w:val="000000"/>
          <w:sz w:val="20"/>
        </w:rPr>
        <w:t xml:space="preserve">: Why </w:t>
      </w:r>
      <w:proofErr w:type="spellStart"/>
      <w:r w:rsidRPr="00DB7173">
        <w:rPr>
          <w:rFonts w:asciiTheme="minorHAnsi" w:hAnsiTheme="minorHAnsi" w:cstheme="minorHAnsi"/>
          <w:color w:val="000000"/>
          <w:sz w:val="20"/>
        </w:rPr>
        <w:t>We</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Underestimate</w:t>
      </w:r>
      <w:proofErr w:type="spellEnd"/>
      <w:r w:rsidRPr="00DB7173">
        <w:rPr>
          <w:rFonts w:asciiTheme="minorHAnsi" w:hAnsiTheme="minorHAnsi" w:cstheme="minorHAnsi"/>
          <w:color w:val="000000"/>
          <w:sz w:val="20"/>
        </w:rPr>
        <w:t xml:space="preserve"> Risk in </w:t>
      </w:r>
      <w:proofErr w:type="spellStart"/>
      <w:r w:rsidRPr="00DB7173">
        <w:rPr>
          <w:rFonts w:asciiTheme="minorHAnsi" w:hAnsiTheme="minorHAnsi" w:cstheme="minorHAnsi"/>
          <w:color w:val="000000"/>
          <w:sz w:val="20"/>
        </w:rPr>
        <w:t>the</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Face</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of</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Uncertainty</w:t>
      </w:r>
      <w:proofErr w:type="spellEnd"/>
      <w:r w:rsidRPr="00DB7173">
        <w:rPr>
          <w:rFonts w:asciiTheme="minorHAnsi" w:hAnsiTheme="minorHAnsi" w:cstheme="minorHAnsi"/>
          <w:color w:val="000000"/>
          <w:sz w:val="20"/>
        </w:rPr>
        <w:t xml:space="preserve">. </w:t>
      </w:r>
      <w:proofErr w:type="spellStart"/>
      <w:r w:rsidRPr="00DB7173">
        <w:rPr>
          <w:rFonts w:asciiTheme="minorHAnsi" w:hAnsiTheme="minorHAnsi" w:cstheme="minorHAnsi"/>
          <w:color w:val="000000"/>
          <w:sz w:val="20"/>
        </w:rPr>
        <w:t>Hoboken</w:t>
      </w:r>
      <w:proofErr w:type="spellEnd"/>
      <w:r w:rsidRPr="00DB7173">
        <w:rPr>
          <w:rFonts w:asciiTheme="minorHAnsi" w:hAnsiTheme="minorHAnsi" w:cstheme="minorHAnsi"/>
          <w:color w:val="000000"/>
          <w:sz w:val="20"/>
        </w:rPr>
        <w:t>: John Wiley &amp; Sons.</w:t>
      </w:r>
    </w:p>
    <w:p w14:paraId="34754777" w14:textId="43717160" w:rsidR="0056420E" w:rsidRPr="00DB7173" w:rsidRDefault="001F5C6B" w:rsidP="00DB7173">
      <w:pPr>
        <w:spacing w:after="120" w:line="276" w:lineRule="auto"/>
        <w:ind w:left="360" w:right="851" w:hanging="360"/>
        <w:jc w:val="both"/>
        <w:rPr>
          <w:rFonts w:asciiTheme="minorHAnsi" w:hAnsiTheme="minorHAnsi" w:cstheme="minorHAnsi"/>
          <w:color w:val="000000"/>
          <w:sz w:val="20"/>
        </w:rPr>
      </w:pPr>
      <w:r w:rsidRPr="00DB7173">
        <w:rPr>
          <w:rFonts w:asciiTheme="minorHAnsi" w:hAnsiTheme="minorHAnsi" w:cstheme="minorHAnsi"/>
          <w:color w:val="000000"/>
          <w:sz w:val="20"/>
        </w:rPr>
        <w:t xml:space="preserve">Vose, D. (2008). Risk </w:t>
      </w:r>
      <w:proofErr w:type="spellStart"/>
      <w:r w:rsidRPr="00DB7173">
        <w:rPr>
          <w:rFonts w:asciiTheme="minorHAnsi" w:hAnsiTheme="minorHAnsi" w:cstheme="minorHAnsi"/>
          <w:color w:val="000000"/>
          <w:sz w:val="20"/>
        </w:rPr>
        <w:t>Analysis</w:t>
      </w:r>
      <w:proofErr w:type="spellEnd"/>
      <w:r w:rsidRPr="00DB7173">
        <w:rPr>
          <w:rFonts w:asciiTheme="minorHAnsi" w:hAnsiTheme="minorHAnsi" w:cstheme="minorHAnsi"/>
          <w:color w:val="000000"/>
          <w:sz w:val="20"/>
        </w:rPr>
        <w:t xml:space="preserve">: A </w:t>
      </w:r>
      <w:proofErr w:type="spellStart"/>
      <w:r w:rsidRPr="00DB7173">
        <w:rPr>
          <w:rFonts w:asciiTheme="minorHAnsi" w:hAnsiTheme="minorHAnsi" w:cstheme="minorHAnsi"/>
          <w:color w:val="000000"/>
          <w:sz w:val="20"/>
        </w:rPr>
        <w:t>Quantitative</w:t>
      </w:r>
      <w:proofErr w:type="spellEnd"/>
      <w:r w:rsidRPr="00DB7173">
        <w:rPr>
          <w:rFonts w:asciiTheme="minorHAnsi" w:hAnsiTheme="minorHAnsi" w:cstheme="minorHAnsi"/>
          <w:color w:val="000000"/>
          <w:sz w:val="20"/>
        </w:rPr>
        <w:t xml:space="preserve"> Guide (3rd ed.). Chichester: John Wiley &amp; Sons.</w:t>
      </w:r>
    </w:p>
    <w:sdt>
      <w:sdtPr>
        <w:rPr>
          <w:rFonts w:asciiTheme="minorHAnsi" w:hAnsiTheme="minorHAnsi" w:cstheme="minorHAnsi"/>
        </w:rPr>
        <w:id w:val="111145805"/>
        <w:showingPlcHdr/>
        <w:bibliography/>
      </w:sdtPr>
      <w:sdtContent>
        <w:p w14:paraId="55DC620D" w14:textId="40C5BF62" w:rsidR="0056420E" w:rsidRPr="00DB7173" w:rsidRDefault="001F5C6B" w:rsidP="00DB7173">
          <w:pPr>
            <w:spacing w:after="200" w:line="276" w:lineRule="auto"/>
            <w:ind w:right="851"/>
            <w:jc w:val="both"/>
            <w:rPr>
              <w:rFonts w:asciiTheme="minorHAnsi" w:hAnsiTheme="minorHAnsi" w:cstheme="minorHAnsi"/>
            </w:rPr>
          </w:pPr>
          <w:r w:rsidRPr="00DB7173">
            <w:rPr>
              <w:rFonts w:asciiTheme="minorHAnsi" w:hAnsiTheme="minorHAnsi" w:cstheme="minorHAnsi"/>
            </w:rPr>
            <w:t xml:space="preserve">     </w:t>
          </w:r>
        </w:p>
      </w:sdtContent>
    </w:sdt>
    <w:p w14:paraId="02AA82F7" w14:textId="77777777" w:rsidR="0056420E" w:rsidRPr="00DB7173" w:rsidRDefault="0056420E" w:rsidP="00DB7173">
      <w:pPr>
        <w:spacing w:line="276" w:lineRule="auto"/>
        <w:ind w:right="851"/>
        <w:jc w:val="both"/>
        <w:rPr>
          <w:rFonts w:asciiTheme="minorHAnsi" w:hAnsiTheme="minorHAnsi" w:cstheme="minorHAnsi"/>
          <w:color w:val="FF0000"/>
          <w:sz w:val="22"/>
          <w:szCs w:val="22"/>
        </w:rPr>
      </w:pPr>
    </w:p>
    <w:sectPr w:rsidR="0056420E" w:rsidRPr="00DB7173">
      <w:headerReference w:type="even" r:id="rId8"/>
      <w:headerReference w:type="default" r:id="rId9"/>
      <w:footerReference w:type="even" r:id="rId10"/>
      <w:footerReference w:type="default" r:id="rId11"/>
      <w:headerReference w:type="first" r:id="rId12"/>
      <w:footerReference w:type="first" r:id="rId13"/>
      <w:pgSz w:w="12242" w:h="15842" w:code="1"/>
      <w:pgMar w:top="1701" w:right="618" w:bottom="1418" w:left="1701"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6FBC" w14:textId="77777777" w:rsidR="00201D38" w:rsidRDefault="00201D38">
      <w:r>
        <w:separator/>
      </w:r>
    </w:p>
  </w:endnote>
  <w:endnote w:type="continuationSeparator" w:id="0">
    <w:p w14:paraId="2A45940F" w14:textId="77777777" w:rsidR="00201D38" w:rsidRDefault="00201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7F53" w14:textId="77777777" w:rsidR="00704CF4" w:rsidRDefault="00704C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8DFD" w14:textId="77777777" w:rsidR="00704CF4" w:rsidRDefault="00704CF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A3EB" w14:textId="77777777" w:rsidR="00704CF4" w:rsidRDefault="00704C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7BCD0" w14:textId="77777777" w:rsidR="00201D38" w:rsidRDefault="00201D38">
      <w:r>
        <w:separator/>
      </w:r>
    </w:p>
  </w:footnote>
  <w:footnote w:type="continuationSeparator" w:id="0">
    <w:p w14:paraId="2AA8BC77" w14:textId="77777777" w:rsidR="00201D38" w:rsidRDefault="00201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2AAA" w14:textId="77777777" w:rsidR="00AF1217" w:rsidRDefault="00AF1217">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440CBAC3" w14:textId="77777777" w:rsidR="00AF1217" w:rsidRDefault="00AF1217">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00A4" w14:textId="766A0573" w:rsidR="00AF1217" w:rsidRDefault="00AF1217">
    <w:pPr>
      <w:pStyle w:val="Encabezado"/>
      <w:framePr w:wrap="around" w:vAnchor="text" w:hAnchor="margin" w:xAlign="right" w:y="1"/>
      <w:rPr>
        <w:rStyle w:val="Nmerodepgina"/>
        <w:b/>
      </w:rPr>
    </w:pPr>
    <w:r>
      <w:rPr>
        <w:rStyle w:val="Nmerodepgina"/>
        <w:b/>
      </w:rPr>
      <w:fldChar w:fldCharType="begin"/>
    </w:r>
    <w:r>
      <w:rPr>
        <w:rStyle w:val="Nmerodepgina"/>
        <w:b/>
      </w:rPr>
      <w:instrText xml:space="preserve">PAGE  </w:instrText>
    </w:r>
    <w:r>
      <w:rPr>
        <w:rStyle w:val="Nmerodepgina"/>
        <w:b/>
      </w:rPr>
      <w:fldChar w:fldCharType="separate"/>
    </w:r>
    <w:r w:rsidR="0043700D">
      <w:rPr>
        <w:rStyle w:val="Nmerodepgina"/>
        <w:b/>
        <w:noProof/>
      </w:rPr>
      <w:t>4</w:t>
    </w:r>
    <w:r>
      <w:rPr>
        <w:rStyle w:val="Nmerodepgina"/>
        <w:b/>
      </w:rPr>
      <w:fldChar w:fldCharType="end"/>
    </w:r>
    <w:r>
      <w:rPr>
        <w:rStyle w:val="Nmerodepgina"/>
        <w:b/>
      </w:rPr>
      <w:t>/</w:t>
    </w:r>
    <w:r w:rsidR="00A606E5">
      <w:rPr>
        <w:rStyle w:val="Nmerodepgina"/>
        <w:b/>
      </w:rPr>
      <w:t>5</w:t>
    </w:r>
  </w:p>
  <w:p w14:paraId="4A887E0D" w14:textId="77777777" w:rsidR="00AF1217" w:rsidRDefault="00B52284">
    <w:pPr>
      <w:pStyle w:val="Encabezado"/>
      <w:ind w:right="360"/>
      <w:rPr>
        <w:b/>
        <w:sz w:val="28"/>
      </w:rPr>
    </w:pPr>
    <w:r>
      <w:rPr>
        <w:noProof/>
        <w:lang w:eastAsia="es-CO"/>
      </w:rPr>
      <w:drawing>
        <wp:anchor distT="0" distB="0" distL="114300" distR="114300" simplePos="0" relativeHeight="251659264" behindDoc="0" locked="0" layoutInCell="1" allowOverlap="1" wp14:anchorId="6FB183C7" wp14:editId="081953EB">
          <wp:simplePos x="0" y="0"/>
          <wp:positionH relativeFrom="margin">
            <wp:posOffset>-171450</wp:posOffset>
          </wp:positionH>
          <wp:positionV relativeFrom="paragraph">
            <wp:posOffset>9525</wp:posOffset>
          </wp:positionV>
          <wp:extent cx="1138555" cy="505460"/>
          <wp:effectExtent l="0" t="0" r="4445" b="8890"/>
          <wp:wrapSquare wrapText="bothSides"/>
          <wp:docPr id="7" name="Imagen 7" descr="Universidad EA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EA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555" cy="50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217">
      <w:tab/>
    </w:r>
    <w:r w:rsidR="00AF1217">
      <w:rPr>
        <w:b/>
        <w:sz w:val="28"/>
      </w:rPr>
      <w:tab/>
    </w:r>
    <w:r w:rsidR="00AF1217">
      <w:rPr>
        <w:b/>
        <w:sz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F98" w14:textId="77777777" w:rsidR="00704CF4" w:rsidRDefault="00704C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2F26"/>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0C764941"/>
    <w:multiLevelType w:val="hybridMultilevel"/>
    <w:tmpl w:val="F42250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EE74EE"/>
    <w:multiLevelType w:val="multilevel"/>
    <w:tmpl w:val="3BB85AF0"/>
    <w:lvl w:ilvl="0">
      <w:start w:val="1"/>
      <w:numFmt w:val="bullet"/>
      <w:lvlText w:val=""/>
      <w:lvlJc w:val="left"/>
      <w:pPr>
        <w:tabs>
          <w:tab w:val="num" w:pos="360"/>
        </w:tabs>
        <w:ind w:left="360" w:hanging="360"/>
      </w:pPr>
      <w:rPr>
        <w:rFonts w:ascii="Symbol" w:hAnsi="Symbol"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 w15:restartNumberingAfterBreak="0">
    <w:nsid w:val="17BC3EA1"/>
    <w:multiLevelType w:val="singleLevel"/>
    <w:tmpl w:val="735E5022"/>
    <w:lvl w:ilvl="0">
      <w:start w:val="1"/>
      <w:numFmt w:val="bullet"/>
      <w:lvlText w:val=""/>
      <w:lvlJc w:val="left"/>
      <w:pPr>
        <w:tabs>
          <w:tab w:val="num" w:pos="0"/>
        </w:tabs>
        <w:ind w:left="300" w:hanging="240"/>
      </w:pPr>
      <w:rPr>
        <w:rFonts w:ascii="Wingdings" w:hAnsi="Wingdings" w:hint="default"/>
      </w:rPr>
    </w:lvl>
  </w:abstractNum>
  <w:abstractNum w:abstractNumId="4" w15:restartNumberingAfterBreak="0">
    <w:nsid w:val="18DF57EA"/>
    <w:multiLevelType w:val="hybridMultilevel"/>
    <w:tmpl w:val="E5465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FF5A5A"/>
    <w:multiLevelType w:val="hybridMultilevel"/>
    <w:tmpl w:val="CF686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6C40243"/>
    <w:multiLevelType w:val="multilevel"/>
    <w:tmpl w:val="FC20095E"/>
    <w:lvl w:ilvl="0">
      <w:start w:val="1"/>
      <w:numFmt w:val="decimal"/>
      <w:pStyle w:val="Ttulo1"/>
      <w:lvlText w:val="%1."/>
      <w:lvlJc w:val="left"/>
      <w:pPr>
        <w:tabs>
          <w:tab w:val="num" w:pos="360"/>
        </w:tabs>
        <w:ind w:left="360" w:hanging="360"/>
      </w:pPr>
      <w:rPr>
        <w:rFonts w:ascii="Arial" w:hAnsi="Arial" w:hint="default"/>
        <w:b/>
        <w:i w:val="0"/>
        <w:sz w:val="28"/>
      </w:r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4E043F07"/>
    <w:multiLevelType w:val="hybridMultilevel"/>
    <w:tmpl w:val="5C3E3B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67E6AF2"/>
    <w:multiLevelType w:val="multilevel"/>
    <w:tmpl w:val="0F3A9B5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9" w15:restartNumberingAfterBreak="0">
    <w:nsid w:val="7503389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7A25EFD"/>
    <w:multiLevelType w:val="singleLevel"/>
    <w:tmpl w:val="735E5022"/>
    <w:lvl w:ilvl="0">
      <w:start w:val="1"/>
      <w:numFmt w:val="bullet"/>
      <w:lvlText w:val=""/>
      <w:lvlJc w:val="left"/>
      <w:pPr>
        <w:tabs>
          <w:tab w:val="num" w:pos="0"/>
        </w:tabs>
        <w:ind w:left="300" w:hanging="240"/>
      </w:pPr>
      <w:rPr>
        <w:rFonts w:ascii="Wingdings" w:hAnsi="Wingdings" w:hint="default"/>
      </w:rPr>
    </w:lvl>
  </w:abstractNum>
  <w:abstractNum w:abstractNumId="11" w15:restartNumberingAfterBreak="0">
    <w:nsid w:val="7CD008BA"/>
    <w:multiLevelType w:val="hybridMultilevel"/>
    <w:tmpl w:val="F356D2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31360430">
    <w:abstractNumId w:val="6"/>
  </w:num>
  <w:num w:numId="2" w16cid:durableId="1697459083">
    <w:abstractNumId w:val="8"/>
  </w:num>
  <w:num w:numId="3" w16cid:durableId="1647708624">
    <w:abstractNumId w:val="3"/>
  </w:num>
  <w:num w:numId="4" w16cid:durableId="559755073">
    <w:abstractNumId w:val="10"/>
  </w:num>
  <w:num w:numId="5" w16cid:durableId="1110586209">
    <w:abstractNumId w:val="0"/>
  </w:num>
  <w:num w:numId="6" w16cid:durableId="215287066">
    <w:abstractNumId w:val="2"/>
  </w:num>
  <w:num w:numId="7" w16cid:durableId="1960213292">
    <w:abstractNumId w:val="6"/>
  </w:num>
  <w:num w:numId="8" w16cid:durableId="1341657156">
    <w:abstractNumId w:val="6"/>
  </w:num>
  <w:num w:numId="9" w16cid:durableId="1147892160">
    <w:abstractNumId w:val="6"/>
  </w:num>
  <w:num w:numId="10" w16cid:durableId="1213079644">
    <w:abstractNumId w:val="9"/>
  </w:num>
  <w:num w:numId="11" w16cid:durableId="1290626526">
    <w:abstractNumId w:val="7"/>
  </w:num>
  <w:num w:numId="12" w16cid:durableId="1395929942">
    <w:abstractNumId w:val="4"/>
  </w:num>
  <w:num w:numId="13" w16cid:durableId="1270746056">
    <w:abstractNumId w:val="5"/>
  </w:num>
  <w:num w:numId="14" w16cid:durableId="1095396742">
    <w:abstractNumId w:val="1"/>
  </w:num>
  <w:num w:numId="15" w16cid:durableId="385035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00"/>
    <w:rsid w:val="000134A0"/>
    <w:rsid w:val="00033D1B"/>
    <w:rsid w:val="0005009D"/>
    <w:rsid w:val="000C0965"/>
    <w:rsid w:val="00175322"/>
    <w:rsid w:val="0018648D"/>
    <w:rsid w:val="001B4999"/>
    <w:rsid w:val="001D7458"/>
    <w:rsid w:val="001F5C6B"/>
    <w:rsid w:val="00201D38"/>
    <w:rsid w:val="002300ED"/>
    <w:rsid w:val="002765F6"/>
    <w:rsid w:val="002A6EB5"/>
    <w:rsid w:val="00386867"/>
    <w:rsid w:val="00394DAB"/>
    <w:rsid w:val="003C78F7"/>
    <w:rsid w:val="0040255F"/>
    <w:rsid w:val="00416A53"/>
    <w:rsid w:val="00416A69"/>
    <w:rsid w:val="004225C6"/>
    <w:rsid w:val="0043700D"/>
    <w:rsid w:val="0047155A"/>
    <w:rsid w:val="004A7E58"/>
    <w:rsid w:val="004D17FA"/>
    <w:rsid w:val="004D26D8"/>
    <w:rsid w:val="004E7143"/>
    <w:rsid w:val="00517D78"/>
    <w:rsid w:val="00535EB3"/>
    <w:rsid w:val="0056420E"/>
    <w:rsid w:val="005720D8"/>
    <w:rsid w:val="00595C3B"/>
    <w:rsid w:val="005F7319"/>
    <w:rsid w:val="00604E79"/>
    <w:rsid w:val="00617383"/>
    <w:rsid w:val="006663B8"/>
    <w:rsid w:val="0067564C"/>
    <w:rsid w:val="006F76C1"/>
    <w:rsid w:val="00704CF4"/>
    <w:rsid w:val="00752136"/>
    <w:rsid w:val="007E703A"/>
    <w:rsid w:val="00826086"/>
    <w:rsid w:val="00873DF1"/>
    <w:rsid w:val="008B499B"/>
    <w:rsid w:val="008D1DC6"/>
    <w:rsid w:val="008F2A92"/>
    <w:rsid w:val="00962024"/>
    <w:rsid w:val="00A02935"/>
    <w:rsid w:val="00A606E5"/>
    <w:rsid w:val="00AC1120"/>
    <w:rsid w:val="00AF1217"/>
    <w:rsid w:val="00AF5D0B"/>
    <w:rsid w:val="00B2225A"/>
    <w:rsid w:val="00B52284"/>
    <w:rsid w:val="00BA5410"/>
    <w:rsid w:val="00BC3DAD"/>
    <w:rsid w:val="00BF4FFE"/>
    <w:rsid w:val="00C50BEC"/>
    <w:rsid w:val="00C77A3F"/>
    <w:rsid w:val="00CE799F"/>
    <w:rsid w:val="00D66800"/>
    <w:rsid w:val="00D86763"/>
    <w:rsid w:val="00DA4EBD"/>
    <w:rsid w:val="00DB7173"/>
    <w:rsid w:val="00E81135"/>
    <w:rsid w:val="00ED75FD"/>
    <w:rsid w:val="00F01C72"/>
    <w:rsid w:val="00F12E2F"/>
    <w:rsid w:val="00FF11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7E3F4"/>
  <w15:chartTrackingRefBased/>
  <w15:docId w15:val="{54BE2D0D-3EDA-47A1-A754-2AD5ECC0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es-ES" w:eastAsia="es-MX"/>
    </w:rPr>
  </w:style>
  <w:style w:type="paragraph" w:styleId="Ttulo1">
    <w:name w:val="heading 1"/>
    <w:basedOn w:val="Normal"/>
    <w:next w:val="Normal"/>
    <w:qFormat/>
    <w:pPr>
      <w:keepNext/>
      <w:numPr>
        <w:numId w:val="1"/>
      </w:numPr>
      <w:jc w:val="both"/>
      <w:outlineLvl w:val="0"/>
    </w:pPr>
    <w:rPr>
      <w:b/>
      <w:sz w:val="28"/>
    </w:rPr>
  </w:style>
  <w:style w:type="paragraph" w:styleId="Ttulo2">
    <w:name w:val="heading 2"/>
    <w:basedOn w:val="Normal"/>
    <w:next w:val="Normal"/>
    <w:qFormat/>
    <w:pPr>
      <w:keepNext/>
      <w:jc w:val="both"/>
      <w:outlineLvl w:val="1"/>
    </w:pPr>
    <w:rPr>
      <w:b/>
    </w:rPr>
  </w:style>
  <w:style w:type="paragraph" w:styleId="Ttulo4">
    <w:name w:val="heading 4"/>
    <w:basedOn w:val="Normal"/>
    <w:next w:val="Normal"/>
    <w:qFormat/>
    <w:pPr>
      <w:keepNext/>
      <w:spacing w:after="120"/>
      <w:outlineLvl w:val="3"/>
    </w:pPr>
    <w:rPr>
      <w:lang w:val="es-ES_tradnl"/>
    </w:rPr>
  </w:style>
  <w:style w:type="paragraph" w:styleId="Ttulo5">
    <w:name w:val="heading 5"/>
    <w:basedOn w:val="Normal"/>
    <w:next w:val="Normal"/>
    <w:qFormat/>
    <w:pPr>
      <w:keepNext/>
      <w:tabs>
        <w:tab w:val="left" w:pos="2835"/>
        <w:tab w:val="left" w:pos="3402"/>
      </w:tabs>
      <w:jc w:val="both"/>
      <w:outlineLvl w:val="4"/>
    </w:pPr>
    <w:rPr>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rPr>
      <w:rFonts w:ascii="Times New Roman" w:hAnsi="Times New Roman"/>
      <w:sz w:val="20"/>
      <w:lang w:val="es-ES_tradnl"/>
    </w:rPr>
  </w:style>
  <w:style w:type="paragraph" w:styleId="Ttulo">
    <w:name w:val="Title"/>
    <w:basedOn w:val="Normal"/>
    <w:qFormat/>
    <w:pPr>
      <w:jc w:val="center"/>
    </w:pPr>
    <w:rPr>
      <w:b/>
      <w:sz w:val="28"/>
      <w:lang w:val="es-ES_tradnl"/>
    </w:rPr>
  </w:style>
  <w:style w:type="paragraph" w:styleId="Subttulo">
    <w:name w:val="Subtitle"/>
    <w:basedOn w:val="Normal"/>
    <w:qFormat/>
    <w:pPr>
      <w:jc w:val="both"/>
    </w:pPr>
    <w:rPr>
      <w:b/>
      <w:lang w:val="es-ES_tradnl"/>
    </w:r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extoindependiente2">
    <w:name w:val="Body Text 2"/>
    <w:basedOn w:val="Normal"/>
    <w:link w:val="Textoindependiente2Car"/>
    <w:rsid w:val="00AC1120"/>
    <w:rPr>
      <w:rFonts w:cs="Arial"/>
      <w:lang w:eastAsia="es-ES"/>
    </w:rPr>
  </w:style>
  <w:style w:type="character" w:customStyle="1" w:styleId="Textoindependiente2Car">
    <w:name w:val="Texto independiente 2 Car"/>
    <w:basedOn w:val="Fuentedeprrafopredeter"/>
    <w:link w:val="Textoindependiente2"/>
    <w:rsid w:val="00AC1120"/>
    <w:rPr>
      <w:rFonts w:ascii="Arial" w:hAnsi="Arial" w:cs="Arial"/>
      <w:sz w:val="24"/>
    </w:rPr>
  </w:style>
  <w:style w:type="paragraph" w:styleId="NormalWeb">
    <w:name w:val="Normal (Web)"/>
    <w:basedOn w:val="Normal"/>
    <w:uiPriority w:val="99"/>
    <w:unhideWhenUsed/>
    <w:rsid w:val="005720D8"/>
    <w:pPr>
      <w:spacing w:before="100" w:beforeAutospacing="1" w:after="100" w:afterAutospacing="1"/>
    </w:pPr>
    <w:rPr>
      <w:rFonts w:ascii="Times New Roman" w:hAnsi="Times New Roman"/>
      <w:szCs w:val="24"/>
      <w:lang w:eastAsia="es-ES"/>
    </w:rPr>
  </w:style>
  <w:style w:type="paragraph" w:styleId="Bibliografa">
    <w:name w:val="Bibliography"/>
    <w:basedOn w:val="Normal"/>
    <w:next w:val="Normal"/>
    <w:uiPriority w:val="37"/>
    <w:unhideWhenUsed/>
    <w:rsid w:val="0056420E"/>
    <w:pPr>
      <w:spacing w:after="200" w:line="276" w:lineRule="auto"/>
    </w:pPr>
    <w:rPr>
      <w:rFonts w:ascii="Calibri" w:eastAsia="Calibri" w:hAnsi="Calibri"/>
      <w:sz w:val="22"/>
      <w:szCs w:val="22"/>
      <w:lang w:val="es-CO" w:eastAsia="en-US"/>
    </w:rPr>
  </w:style>
  <w:style w:type="paragraph" w:styleId="Prrafodelista">
    <w:name w:val="List Paragraph"/>
    <w:basedOn w:val="Normal"/>
    <w:uiPriority w:val="34"/>
    <w:qFormat/>
    <w:rsid w:val="00704CF4"/>
    <w:pPr>
      <w:ind w:left="720"/>
      <w:contextualSpacing/>
    </w:pPr>
  </w:style>
  <w:style w:type="table" w:styleId="Tablaconcuadrcula">
    <w:name w:val="Table Grid"/>
    <w:basedOn w:val="Tablanormal"/>
    <w:rsid w:val="001F5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8415">
      <w:bodyDiv w:val="1"/>
      <w:marLeft w:val="0"/>
      <w:marRight w:val="0"/>
      <w:marTop w:val="0"/>
      <w:marBottom w:val="0"/>
      <w:divBdr>
        <w:top w:val="none" w:sz="0" w:space="0" w:color="auto"/>
        <w:left w:val="none" w:sz="0" w:space="0" w:color="auto"/>
        <w:bottom w:val="none" w:sz="0" w:space="0" w:color="auto"/>
        <w:right w:val="none" w:sz="0" w:space="0" w:color="auto"/>
      </w:divBdr>
      <w:divsChild>
        <w:div w:id="493225491">
          <w:marLeft w:val="0"/>
          <w:marRight w:val="0"/>
          <w:marTop w:val="450"/>
          <w:marBottom w:val="0"/>
          <w:divBdr>
            <w:top w:val="none" w:sz="0" w:space="0" w:color="auto"/>
            <w:left w:val="none" w:sz="0" w:space="0" w:color="auto"/>
            <w:bottom w:val="none" w:sz="0" w:space="0" w:color="auto"/>
            <w:right w:val="none" w:sz="0" w:space="0" w:color="auto"/>
          </w:divBdr>
          <w:divsChild>
            <w:div w:id="1693065152">
              <w:marLeft w:val="300"/>
              <w:marRight w:val="0"/>
              <w:marTop w:val="0"/>
              <w:marBottom w:val="750"/>
              <w:divBdr>
                <w:top w:val="none" w:sz="0" w:space="0" w:color="auto"/>
                <w:left w:val="none" w:sz="0" w:space="0" w:color="auto"/>
                <w:bottom w:val="none" w:sz="0" w:space="0" w:color="auto"/>
                <w:right w:val="none" w:sz="0" w:space="0" w:color="auto"/>
              </w:divBdr>
              <w:divsChild>
                <w:div w:id="1065831579">
                  <w:marLeft w:val="0"/>
                  <w:marRight w:val="0"/>
                  <w:marTop w:val="0"/>
                  <w:marBottom w:val="0"/>
                  <w:divBdr>
                    <w:top w:val="none" w:sz="0" w:space="0" w:color="auto"/>
                    <w:left w:val="none" w:sz="0" w:space="0" w:color="auto"/>
                    <w:bottom w:val="none" w:sz="0" w:space="0" w:color="auto"/>
                    <w:right w:val="none" w:sz="0" w:space="0" w:color="auto"/>
                  </w:divBdr>
                  <w:divsChild>
                    <w:div w:id="6767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963011">
      <w:bodyDiv w:val="1"/>
      <w:marLeft w:val="0"/>
      <w:marRight w:val="0"/>
      <w:marTop w:val="0"/>
      <w:marBottom w:val="0"/>
      <w:divBdr>
        <w:top w:val="none" w:sz="0" w:space="0" w:color="auto"/>
        <w:left w:val="none" w:sz="0" w:space="0" w:color="auto"/>
        <w:bottom w:val="none" w:sz="0" w:space="0" w:color="auto"/>
        <w:right w:val="none" w:sz="0" w:space="0" w:color="auto"/>
      </w:divBdr>
    </w:div>
    <w:div w:id="1561331147">
      <w:bodyDiv w:val="1"/>
      <w:marLeft w:val="0"/>
      <w:marRight w:val="0"/>
      <w:marTop w:val="0"/>
      <w:marBottom w:val="0"/>
      <w:divBdr>
        <w:top w:val="none" w:sz="0" w:space="0" w:color="auto"/>
        <w:left w:val="none" w:sz="0" w:space="0" w:color="auto"/>
        <w:bottom w:val="none" w:sz="0" w:space="0" w:color="auto"/>
        <w:right w:val="none" w:sz="0" w:space="0" w:color="auto"/>
      </w:divBdr>
      <w:divsChild>
        <w:div w:id="1109160106">
          <w:marLeft w:val="0"/>
          <w:marRight w:val="0"/>
          <w:marTop w:val="450"/>
          <w:marBottom w:val="0"/>
          <w:divBdr>
            <w:top w:val="none" w:sz="0" w:space="0" w:color="auto"/>
            <w:left w:val="none" w:sz="0" w:space="0" w:color="auto"/>
            <w:bottom w:val="none" w:sz="0" w:space="0" w:color="auto"/>
            <w:right w:val="none" w:sz="0" w:space="0" w:color="auto"/>
          </w:divBdr>
          <w:divsChild>
            <w:div w:id="992028449">
              <w:marLeft w:val="300"/>
              <w:marRight w:val="0"/>
              <w:marTop w:val="0"/>
              <w:marBottom w:val="750"/>
              <w:divBdr>
                <w:top w:val="none" w:sz="0" w:space="0" w:color="auto"/>
                <w:left w:val="none" w:sz="0" w:space="0" w:color="auto"/>
                <w:bottom w:val="none" w:sz="0" w:space="0" w:color="auto"/>
                <w:right w:val="none" w:sz="0" w:space="0" w:color="auto"/>
              </w:divBdr>
              <w:divsChild>
                <w:div w:id="2036616105">
                  <w:marLeft w:val="0"/>
                  <w:marRight w:val="0"/>
                  <w:marTop w:val="0"/>
                  <w:marBottom w:val="0"/>
                  <w:divBdr>
                    <w:top w:val="none" w:sz="0" w:space="0" w:color="auto"/>
                    <w:left w:val="none" w:sz="0" w:space="0" w:color="auto"/>
                    <w:bottom w:val="none" w:sz="0" w:space="0" w:color="auto"/>
                    <w:right w:val="none" w:sz="0" w:space="0" w:color="auto"/>
                  </w:divBdr>
                  <w:divsChild>
                    <w:div w:id="9160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2A64EE-B6DF-4FE7-AF49-61A71B05ABD9}">
  <we:reference id="WA200010453" version="1.0.0.1" store="Omex" storeType="OMEX"/>
  <we:alternateReferences>
    <we:reference id="WA200010453" version="1.0.0.1" store="WA200010453" storeType="OMEX"/>
  </we:alternateReferences>
  <we:properties>
    <we:property name="claude.fileId" value="&quot;921e8051-65f3-453e-b490-783dc73c66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Alg</b:Tag>
    <b:SourceType>Book</b:SourceType>
    <b:Guid>{261E63B3-7A54-4CF2-ABD5-A86E73D1D84D}</b:Guid>
    <b:Title>Algoritmos de optimización estructural basados en simulación genetica</b:Title>
    <b:Author>
      <b:Author>
        <b:NameList>
          <b:Person>
            <b:Last>Cerrolaza</b:Last>
            <b:First>Miguel</b:First>
          </b:Person>
          <b:Person>
            <b:Last>Annicchiarico</b:Last>
            <b:First>William</b:First>
          </b:Person>
        </b:NameList>
      </b:Author>
    </b:Author>
    <b:Year>1996</b:Year>
    <b:City>Caracas</b:City>
    <b:Publisher>Universidad Central de Venezuela </b:Publisher>
    <b:RefOrder>1</b:RefOrder>
  </b:Source>
  <b:Source>
    <b:Tag>Ara00</b:Tag>
    <b:SourceType>Book</b:SourceType>
    <b:Guid>{0DA00A59-B46D-41FB-9F1D-088D0499F846}</b:Guid>
    <b:Author>
      <b:Author>
        <b:NameList>
          <b:Person>
            <b:Last>Arango Lemoine</b:Last>
            <b:First>Cesar</b:First>
          </b:Person>
        </b:NameList>
      </b:Author>
    </b:Author>
    <b:Title>Reconfiguración de alimentadores para balanceo de cargas</b:Title>
    <b:Year>2000</b:Year>
    <b:City>Manizales</b:City>
    <b:Publisher>Universidad Nacional de Colombia</b:Publisher>
    <b:RefOrder>2</b:RefOrder>
  </b:Source>
  <b:Source>
    <b:Tag>Guj97</b:Tag>
    <b:SourceType>Book</b:SourceType>
    <b:Guid>{22F29557-3787-4EA7-91BB-4BC755A98B3D}</b:Guid>
    <b:Author>
      <b:Author>
        <b:NameList>
          <b:Person>
            <b:Last>Gujarati</b:Last>
            <b:First>Damodar</b:First>
          </b:Person>
        </b:NameList>
      </b:Author>
    </b:Author>
    <b:Title>Econometría Básica</b:Title>
    <b:Year>1997</b:Year>
    <b:City>Santafé De Bogotá </b:City>
    <b:Publisher>Mcgraw-Hill </b:Publisher>
    <b:RefOrder>3</b:RefOrder>
  </b:Source>
  <b:Source>
    <b:Tag>Web00</b:Tag>
    <b:SourceType>Book</b:SourceType>
    <b:Guid>{4394DFBA-AF58-4058-9B3C-203064E55D72}</b:Guid>
    <b:Author>
      <b:Author>
        <b:NameList>
          <b:Person>
            <b:Last>Webster</b:Last>
            <b:First>Allen</b:First>
            <b:Middle>L</b:Middle>
          </b:Person>
        </b:NameList>
      </b:Author>
    </b:Author>
    <b:Title>Estadística aplicada a los negocios y la economía</b:Title>
    <b:Year>2000</b:Year>
    <b:City>Santafé De Bogotá </b:City>
    <b:Publisher>Mcgraw-Hill </b:Publisher>
    <b:RefOrder>4</b:RefOrder>
  </b:Source>
  <b:Source>
    <b:Tag>Ber96</b:Tag>
    <b:SourceType>Book</b:SourceType>
    <b:Guid>{0F6F996D-FDC7-4A68-BF29-8493FDB3F7EB}</b:Guid>
    <b:Author>
      <b:Author>
        <b:NameList>
          <b:Person>
            <b:Last>Berenson</b:Last>
            <b:First>Mark</b:First>
            <b:Middle>L</b:Middle>
          </b:Person>
          <b:Person>
            <b:Last>Levine</b:Last>
            <b:First>David</b:First>
            <b:Middle>M</b:Middle>
          </b:Person>
        </b:NameList>
      </b:Author>
    </b:Author>
    <b:Title>Estadística básica en Administración: Conceptos y Aplicaciones</b:Title>
    <b:Year>1996</b:Year>
    <b:City>México</b:City>
    <b:Publisher>Prentice Hall Hispanoamericana</b:Publisher>
    <b:RefOrder>5</b:RefOrder>
  </b:Source>
  <b:Source>
    <b:Tag>Lev04</b:Tag>
    <b:SourceType>Book</b:SourceType>
    <b:Guid>{180A779A-7361-40BA-B3FE-9A21A0D989D0}</b:Guid>
    <b:Author>
      <b:Author>
        <b:NameList>
          <b:Person>
            <b:Last>Levin</b:Last>
            <b:First>Richard</b:First>
            <b:Middle>I</b:Middle>
          </b:Person>
          <b:Person>
            <b:Last>Rubin</b:Last>
            <b:First>David</b:First>
            <b:Middle>S</b:Middle>
          </b:Person>
        </b:NameList>
      </b:Author>
    </b:Author>
    <b:Title>Estadística para Administración y Economía </b:Title>
    <b:Year>2004 </b:Year>
    <b:City>México</b:City>
    <b:Publisher>Pearson Educacion </b:Publisher>
    <b:RefOrder>6</b:RefOrder>
  </b:Source>
  <b:Source>
    <b:Tag>Mil04</b:Tag>
    <b:SourceType>Book</b:SourceType>
    <b:Guid>{90A27802-F78B-4A6B-9DF4-4F4664E78E1D}</b:Guid>
    <b:Author>
      <b:Author>
        <b:NameList>
          <b:Person>
            <b:Last>Milton</b:Last>
            <b:First>J.</b:First>
            <b:Middle>Susan</b:Middle>
          </b:Person>
          <b:Person>
            <b:Last>Arnold</b:Last>
            <b:First>Jesse</b:First>
            <b:Middle>C</b:Middle>
          </b:Person>
        </b:NameList>
      </b:Author>
    </b:Author>
    <b:Title>Probabilidad Y Estadística </b:Title>
    <b:Year>2004</b:Year>
    <b:City>México</b:City>
    <b:Publisher>Mcgraw Hill </b:Publisher>
    <b:RefOrder>7</b:RefOrder>
  </b:Source>
  <b:Source>
    <b:Tag>Win08</b:Tag>
    <b:SourceType>Book</b:SourceType>
    <b:Guid>{209B9DF3-A597-4CAF-970F-3B40233CBBDA}</b:Guid>
    <b:Author>
      <b:Author>
        <b:NameList>
          <b:Person>
            <b:Last>Winston</b:Last>
            <b:First>Wayne</b:First>
            <b:Middle>L</b:Middle>
          </b:Person>
        </b:NameList>
      </b:Author>
    </b:Author>
    <b:Title>Financial Models using Simulation and Optimazation</b:Title>
    <b:Year>2008</b:Year>
    <b:City>New York</b:City>
    <b:Publisher>Palisade Corporation</b:Publisher>
    <b:RefOrder>8</b:RefOrder>
  </b:Source>
  <b:Source>
    <b:Tag>New08</b:Tag>
    <b:SourceType>Book</b:SourceType>
    <b:Guid>{E797F186-94B2-47FF-8E64-CB5274C61904}</b:Guid>
    <b:Author>
      <b:Author>
        <b:NameList>
          <b:Person>
            <b:Last>Newbold</b:Last>
            <b:First>Paul</b:First>
          </b:Person>
          <b:Person>
            <b:Last>Carlson</b:Last>
            <b:First>William</b:First>
            <b:Middle>L</b:Middle>
          </b:Person>
          <b:Person>
            <b:Last>Thorne</b:Last>
            <b:First>Betty</b:First>
          </b:Person>
        </b:NameList>
      </b:Author>
    </b:Author>
    <b:Title>Estadística para Administración y Economía </b:Title>
    <b:Year>2008</b:Year>
    <b:City>Madrid</b:City>
    <b:Publisher>Pearson Educacion </b:Publisher>
    <b:RefOrder>9</b:RefOrder>
  </b:Source>
  <b:Source>
    <b:Tag>Eva02</b:Tag>
    <b:SourceType>Book</b:SourceType>
    <b:Guid>{8272B4F1-C675-48E7-A631-EA25D5904441}</b:Guid>
    <b:Author>
      <b:Author>
        <b:NameList>
          <b:Person>
            <b:Last>Evans</b:Last>
            <b:First>James</b:First>
            <b:Middle>R</b:Middle>
          </b:Person>
          <b:Person>
            <b:Last>Olson</b:Last>
            <b:First>David</b:First>
            <b:Middle>L</b:Middle>
          </b:Person>
        </b:NameList>
      </b:Author>
    </b:Author>
    <b:Title>Introduction to Simulation and Risk Analysis </b:Title>
    <b:Year>2002</b:Year>
    <b:City>Upper Saddle River </b:City>
    <b:Publisher>Prentice Hall</b:Publisher>
    <b:RefOrder>10</b:RefOrder>
  </b:Source>
  <b:Source>
    <b:Tag>Can87</b:Tag>
    <b:SourceType>Book</b:SourceType>
    <b:Guid>{B95CCCBF-43EC-4044-A732-002971997721}</b:Guid>
    <b:Author>
      <b:Author>
        <b:NameList>
          <b:Person>
            <b:Last>Canavos</b:Last>
            <b:First>George</b:First>
            <b:Middle>C</b:Middle>
          </b:Person>
        </b:NameList>
      </b:Author>
    </b:Author>
    <b:Title>Probabilidad y Estadística; aplicaciones y métodos </b:Title>
    <b:Year>1987 </b:Year>
    <b:City>México</b:City>
    <b:Publisher>Mcgraw-Hill</b:Publisher>
    <b:RefOrder>11</b:RefOrder>
  </b:Source>
  <b:Source>
    <b:Tag>Cha93</b:Tag>
    <b:SourceType>Book</b:SourceType>
    <b:Guid>{D68CE6C1-64CB-4AF2-BA26-43AC838C815B}</b:Guid>
    <b:Author>
      <b:Author>
        <b:NameList>
          <b:Person>
            <b:Last>Chao</b:Last>
            <b:First>Lincoln</b:First>
            <b:Middle>L</b:Middle>
          </b:Person>
        </b:NameList>
      </b:Author>
    </b:Author>
    <b:Title>Estadística para las ciencias administrativas</b:Title>
    <b:Year>1993</b:Year>
    <b:City>Santafé de Bogota</b:City>
    <b:Publisher>Mcgraw-Hill</b:Publisher>
    <b:RefOrder>12</b:RefOrder>
  </b:Source>
  <b:Source>
    <b:Tag>Cho72</b:Tag>
    <b:SourceType>Book</b:SourceType>
    <b:Guid>{FF2D7378-DE8C-42F3-8B46-D4014F11D31C}</b:Guid>
    <b:Author>
      <b:Author>
        <b:NameList>
          <b:Person>
            <b:Last>Chou</b:Last>
            <b:First>Ya-Lun</b:First>
          </b:Person>
        </b:NameList>
      </b:Author>
    </b:Author>
    <b:Title>Análisis Estadístico </b:Title>
    <b:Year>1972</b:Year>
    <b:City>México </b:City>
    <b:Publisher>Interamericana</b:Publisher>
    <b:RefOrder>13</b:RefOrder>
  </b:Source>
  <b:Source>
    <b:Tag>Men90</b:Tag>
    <b:SourceType>Book</b:SourceType>
    <b:Guid>{72C68D12-E0C7-4B75-85D5-FD56306E7624}</b:Guid>
    <b:Author>
      <b:Author>
        <b:NameList>
          <b:Person>
            <b:Last>Mendenhall</b:Last>
            <b:First>William</b:First>
          </b:Person>
        </b:NameList>
      </b:Author>
    </b:Author>
    <b:Title>Estadística para Administradores </b:Title>
    <b:Year>1990</b:Year>
    <b:City>México </b:City>
    <b:Publisher>Grupo Editorial Iberoamerica </b:Publisher>
    <b:RefOrder>14</b:RefOrder>
  </b:Source>
  <b:Source>
    <b:Tag>Est</b:Tag>
    <b:SourceType>Book</b:SourceType>
    <b:Guid>{BCE416BD-7DCA-4179-BB21-0FE5E384C718}</b:Guid>
    <b:Title>Estadística para Economía y Administración</b:Title>
    <b:Author>
      <b:Author>
        <b:NameList>
          <b:Person>
            <b:Last>Mills</b:Last>
            <b:First>Richard</b:First>
            <b:Middle>L</b:Middle>
          </b:Person>
        </b:NameList>
      </b:Author>
    </b:Author>
    <b:Year>1980</b:Year>
    <b:City>Bogotá</b:City>
    <b:Publisher>Mcgraw-Hill Latinoamericana</b:Publisher>
    <b:RefOrder>15</b:RefOrder>
  </b:Source>
  <b:Source>
    <b:Tag>Cos94</b:Tag>
    <b:SourceType>Book</b:SourceType>
    <b:Guid>{10F92251-E621-47C3-975F-66A235CBBCCA}</b:Guid>
    <b:Author>
      <b:Author>
        <b:NameList>
          <b:Person>
            <b:Last>Coss Bu</b:Last>
            <b:First>Raul</b:First>
          </b:Person>
        </b:NameList>
      </b:Author>
    </b:Author>
    <b:Title>Simulacion: un enfoque practico</b:Title>
    <b:Year>1994</b:Year>
    <b:City>México</b:City>
    <b:Publisher>Limusa</b:Publisher>
    <b:RefOrder>16</b:RefOrder>
  </b:Source>
  <b:Source>
    <b:Tag>Bra991</b:Tag>
    <b:SourceType>Book</b:SourceType>
    <b:Guid>{94730753-BD17-49DA-B6E0-3008D76D02E3}</b:Guid>
    <b:Author>
      <b:Author>
        <b:NameList>
          <b:Person>
            <b:Last>Brand</b:Last>
            <b:First>Salvador</b:First>
            <b:Middle>Osvaldo</b:Middle>
          </b:Person>
        </b:NameList>
      </b:Author>
    </b:Author>
    <b:Title>Diccionario de  Economía </b:Title>
    <b:Year>1999</b:Year>
    <b:City>Bogotá</b:City>
    <b:Publisher>Plaza &amp; Janés</b:Publisher>
    <b:RefOrder>17</b:RefOrder>
  </b:Source>
  <b:Source>
    <b:Tag>Mei98</b:Tag>
    <b:SourceType>Book</b:SourceType>
    <b:Guid>{EBF78F0D-1D20-483D-9E9D-700BDC02A5FE}</b:Guid>
    <b:Author>
      <b:Author>
        <b:NameList>
          <b:Person>
            <b:Last>Meigs</b:Last>
            <b:First>Robert</b:First>
            <b:Middle>F.</b:Middle>
          </b:Person>
          <b:Person>
            <b:Last>Meigs</b:Last>
            <b:First>Mary</b:First>
            <b:Middle>A.</b:Middle>
          </b:Person>
          <b:Person>
            <b:Last>Battner</b:Last>
            <b:First>Mark</b:First>
          </b:Person>
          <b:Person>
            <b:Last>Whittington</b:Last>
          </b:Person>
        </b:NameList>
      </b:Author>
    </b:Author>
    <b:Title>Contabilidad Las bases para decisiones gerenciales</b:Title>
    <b:Year>1998</b:Year>
    <b:City>Santa fé de Bogotá</b:City>
    <b:Publisher>McGraw-Hill</b:Publisher>
    <b:RefOrder>18</b:RefOrder>
  </b:Source>
  <b:Source>
    <b:Tag>Est06</b:Tag>
    <b:SourceType>Book</b:SourceType>
    <b:Guid>{6E0853C2-C35B-4337-A9DB-BA6CF10C0451}</b:Guid>
    <b:Author>
      <b:Author>
        <b:NameList>
          <b:Person>
            <b:Last>Estupiñán Gaitan</b:Last>
            <b:First>Rodrigo</b:First>
          </b:Person>
          <b:Person>
            <b:Last>Estupiñán Gaitan</b:Last>
            <b:First>Orlando</b:First>
          </b:Person>
        </b:NameList>
      </b:Author>
    </b:Author>
    <b:Title>Análisis Financiero y de Gestión</b:Title>
    <b:Year>2006</b:Year>
    <b:City>Bogotá</b:City>
    <b:Publisher>Ecoe Ediciones </b:Publisher>
    <b:RefOrder>19</b:RefOrder>
  </b:Source>
  <b:Source>
    <b:Tag>Gar09</b:Tag>
    <b:SourceType>Book</b:SourceType>
    <b:Guid>{6FF008F5-82FF-4AAE-AC15-8E0F5FADD490}</b:Guid>
    <b:Author>
      <b:Author>
        <b:NameList>
          <b:Person>
            <b:Last>Gary</b:Last>
            <b:First>Clifford</b:First>
            <b:Middle>F.</b:Middle>
          </b:Person>
          <b:Person>
            <b:Last>Larson</b:Last>
            <b:First>Erik</b:First>
            <b:Middle>W.</b:Middle>
          </b:Person>
        </b:NameList>
      </b:Author>
    </b:Author>
    <b:Title>Administración de Proyectos</b:Title>
    <b:Year>2009</b:Year>
    <b:City>México D.F.</b:City>
    <b:Publisher>McGraw-Hill</b:Publisher>
    <b:RefOrder>20</b:RefOrder>
  </b:Source>
  <b:Source>
    <b:Tag>Tor09</b:Tag>
    <b:SourceType>Book</b:SourceType>
    <b:Guid>{9450AAEB-242E-4544-B8E0-6B485AB2BF05}</b:Guid>
    <b:Author>
      <b:Author>
        <b:NameList>
          <b:Person>
            <b:Last>Toro López</b:Last>
            <b:First>Francisco</b:First>
            <b:Middle>J.</b:Middle>
          </b:Person>
        </b:NameList>
      </b:Author>
    </b:Author>
    <b:Title>Proyectos planeación y control Project-Excel </b:Title>
    <b:Year>2009</b:Year>
    <b:City>Bogotá</b:City>
    <b:Publisher>Ecoe Ediciones</b:Publisher>
    <b:RefOrder>21</b:RefOrder>
  </b:Source>
  <b:Source>
    <b:Tag>Bre07</b:Tag>
    <b:SourceType>Book</b:SourceType>
    <b:Guid>{6CA44492-5C80-44E5-BB72-09FDE17DA68C}</b:Guid>
    <b:Author>
      <b:Author>
        <b:NameList>
          <b:Person>
            <b:Last>Brealey</b:Last>
            <b:First>Richard</b:First>
            <b:Middle>A.</b:Middle>
          </b:Person>
          <b:Person>
            <b:Last>C.</b:Last>
            <b:First>Myers</b:First>
            <b:Middle>Stewart</b:Middle>
          </b:Person>
          <b:Person>
            <b:Last>Marcus</b:Last>
            <b:First>Alan</b:First>
            <b:Middle>J.</b:Middle>
          </b:Person>
        </b:NameList>
      </b:Author>
    </b:Author>
    <b:Title>Fundamentos de Finanzas Corporativas</b:Title>
    <b:Year>2007</b:Year>
    <b:City>Madrid</b:City>
    <b:Publisher>McGraw-Hill</b:Publisher>
    <b:RefOrder>22</b:RefOrder>
  </b:Source>
  <b:Source>
    <b:Tag>Ros08</b:Tag>
    <b:SourceType>Book</b:SourceType>
    <b:Guid>{DB383393-5E73-4AE1-954D-0EDA0B6F0898}</b:Guid>
    <b:Author>
      <b:Author>
        <b:NameList>
          <b:Person>
            <b:Last>Rosillo</b:Last>
            <b:First>Jorge</b:First>
          </b:Person>
        </b:NameList>
      </b:Author>
    </b:Author>
    <b:Title>Formulación y Evaluación de Proyectos de Inversión</b:Title>
    <b:Year>2008</b:Year>
    <b:City>Bogota, D.C. </b:City>
    <b:Publisher>Cengage Learning </b:Publisher>
    <b:RefOrder>23</b:RefOrder>
  </b:Source>
  <b:Source>
    <b:Tag>LLe07</b:Tag>
    <b:SourceType>Book</b:SourceType>
    <b:Guid>{57E46AA6-0D11-4517-9EA0-C11BAF9BAB7F}</b:Guid>
    <b:Author>
      <b:Author>
        <b:NameList>
          <b:Person>
            <b:Last>LLedó</b:Last>
            <b:First>Pablo</b:First>
          </b:Person>
          <b:Person>
            <b:Last>Rivarola</b:Last>
            <b:First>Gustavo</b:First>
          </b:Person>
        </b:NameList>
      </b:Author>
    </b:Author>
    <b:Title>Gestión de Proyectos</b:Title>
    <b:Year>2007</b:Year>
    <b:City>Buenos Aires</b:City>
    <b:Publisher>Pearson Education</b:Publisher>
    <b:RefOrder>24</b:RefOrder>
  </b:Source>
  <b:Source>
    <b:Tag>Her</b:Tag>
    <b:SourceType>Book</b:SourceType>
    <b:Guid>{42BEE6DA-EC5B-4D84-9F58-2A935FB6CCD3}</b:Guid>
    <b:Title>Herraminetas para el análisis de la rentabilidad</b:Title>
    <b:Author>
      <b:Author>
        <b:NameList>
          <b:Person>
            <b:Last>Vélez Pareja</b:Last>
            <b:First>Ignacio</b:First>
          </b:Person>
        </b:NameList>
      </b:Author>
    </b:Author>
    <b:Year>2002</b:Year>
    <b:City>Bogotá</b:City>
    <b:Publisher>ALFAOMEGA</b:Publisher>
    <b:RefOrder>25</b:RefOrder>
  </b:Source>
  <b:Source>
    <b:Tag>Gar99</b:Tag>
    <b:SourceType>Book</b:SourceType>
    <b:Guid>{8E59D004-B809-4530-A8CB-265C9582D3BE}</b:Guid>
    <b:Author>
      <b:Author>
        <b:NameList>
          <b:Person>
            <b:Last>García S.</b:Last>
            <b:First>Oscar</b:First>
            <b:Middle>León</b:Middle>
          </b:Person>
        </b:NameList>
      </b:Author>
    </b:Author>
    <b:Title>Administración financiera, Fundamentos y aplicaciones </b:Title>
    <b:Year>1999</b:Year>
    <b:City>Cali</b:City>
    <b:Publisher>Prensa Moderna Impresores S.A. </b:Publisher>
    <b:RefOrder>26</b:RefOrder>
  </b:Source>
  <b:Source>
    <b:Tag>Gid07</b:Tag>
    <b:SourceType>Book</b:SourceType>
    <b:Guid>{5246B400-7B67-407F-AEEA-9517154E9FA0}</b:Guid>
    <b:Author>
      <b:Author>
        <b:NameList>
          <b:Person>
            <b:Last>Gido</b:Last>
            <b:First>Jack</b:First>
          </b:Person>
          <b:Person>
            <b:Last>Clements</b:Last>
            <b:First>James</b:First>
            <b:Middle>P.</b:Middle>
          </b:Person>
        </b:NameList>
      </b:Author>
    </b:Author>
    <b:Title>Administración exitosa de proyectos </b:Title>
    <b:Year>2007</b:Year>
    <b:City>México</b:City>
    <b:Publisher>Thomson Editores </b:Publisher>
    <b:RefOrder>27</b:RefOrder>
  </b:Source>
  <b:Source>
    <b:Tag>Sap07</b:Tag>
    <b:SourceType>Book</b:SourceType>
    <b:Guid>{C35076E7-7F0B-44CA-B332-AA7B0ECA06A9}</b:Guid>
    <b:Author>
      <b:Author>
        <b:NameList>
          <b:Person>
            <b:Last>Sapag Chaín</b:Last>
            <b:First>Nassir</b:First>
          </b:Person>
        </b:NameList>
      </b:Author>
    </b:Author>
    <b:Title>Proyectos de inversión Formulación y evaluación </b:Title>
    <b:Year>2007</b:Year>
    <b:City>México </b:City>
    <b:Publisher>Pearson</b:Publisher>
    <b:RefOrder>28</b:RefOrder>
  </b:Source>
  <b:Source>
    <b:Tag>Mok04</b:Tag>
    <b:SourceType>Book</b:SourceType>
    <b:Guid>{8F133BC0-0A94-4654-A0F2-FACC2383DADD}</b:Guid>
    <b:Author>
      <b:Author>
        <b:NameList>
          <b:Person>
            <b:Last>Mokate</b:Last>
            <b:First>Karen</b:First>
            <b:Middle>Marie</b:Middle>
          </b:Person>
        </b:NameList>
      </b:Author>
    </b:Author>
    <b:Title>Evaluación financiera de proyectos de inversión </b:Title>
    <b:Year>2004</b:Year>
    <b:City>Bogotá D.C.</b:City>
    <b:Publisher>Alfaomega Colombiana </b:Publisher>
    <b:RefOrder>29</b:RefOrder>
  </b:Source>
  <b:Source>
    <b:Tag>Bac05</b:Tag>
    <b:SourceType>Book</b:SourceType>
    <b:Guid>{EA9DC33B-2E56-429B-BD35-BFB9C2102125}</b:Guid>
    <b:Author>
      <b:Author>
        <b:NameList>
          <b:Person>
            <b:Last>Baca Currea</b:Last>
            <b:First>Guillermo</b:First>
          </b:Person>
        </b:NameList>
      </b:Author>
    </b:Author>
    <b:Title>Ingeniería Económica </b:Title>
    <b:Year>2005</b:Year>
    <b:City>Bogotá</b:City>
    <b:Publisher>Fondo Educativo Panamericano</b:Publisher>
    <b:RefOrder>30</b:RefOrder>
  </b:Source>
  <b:Source>
    <b:Tag>Enr08</b:Tag>
    <b:SourceType>Book</b:SourceType>
    <b:Guid>{5EA49AA8-FFC5-4F02-8E36-7D4D9A3B7A3A}</b:Guid>
    <b:Author>
      <b:Author>
        <b:NameList>
          <b:Person>
            <b:Last>Romero Romero</b:Last>
            <b:First>Enrique</b:First>
          </b:Person>
        </b:NameList>
      </b:Author>
    </b:Author>
    <b:Title>Plan Único de Cuentas</b:Title>
    <b:Year>2008</b:Year>
    <b:City>Bogotá</b:City>
    <b:Publisher>Ecoe Ediciones</b:Publisher>
    <b:RefOrder>31</b:RefOrder>
  </b:Source>
  <b:Source>
    <b:Tag>Dum03</b:Tag>
    <b:SourceType>Book</b:SourceType>
    <b:Guid>{3FAEBD40-4569-48B5-83FC-4C8A4B906CEA}</b:Guid>
    <b:Author>
      <b:Author>
        <b:NameList>
          <b:Person>
            <b:Last>Dumrauf</b:Last>
            <b:First>Guillermo</b:First>
            <b:Middle>L.</b:Middle>
          </b:Person>
        </b:NameList>
      </b:Author>
    </b:Author>
    <b:Title>Finanzas corporativas </b:Title>
    <b:Year>2003</b:Year>
    <b:City>Grupo Guía </b:City>
    <b:Publisher>Buenos Aires </b:Publisher>
    <b:RefOrder>32</b:RefOrder>
  </b:Source>
  <b:Source>
    <b:Tag>Ber10</b:Tag>
    <b:SourceType>InternetSite</b:SourceType>
    <b:Guid>{66F7B3AF-96F3-4989-91D7-602512C19D75}</b:Guid>
    <b:Author>
      <b:Author>
        <b:NameList>
          <b:Person>
            <b:Last>Berenstein</b:Last>
            <b:First>Marcelo</b:First>
          </b:Person>
        </b:NameList>
      </b:Author>
    </b:Author>
    <b:Title>EmorendedoresNews</b:Title>
    <b:YearAccessed>2010</b:YearAccessed>
    <b:MonthAccessed>Mayo</b:MonthAccessed>
    <b:DayAccessed>13</b:DayAccessed>
    <b:URL>http://www.emprendedoresnews.com/tips/creatividad/innovacion-incremental-%C2%BFyo-innovacion-radical.html</b:URL>
    <b:RefOrder>33</b:RefOrder>
  </b:Source>
  <b:Source>
    <b:Tag>Car07</b:Tag>
    <b:SourceType>Book</b:SourceType>
    <b:Guid>{806BD7B4-FFF1-4801-A6BA-0C09F54B898C}</b:Guid>
    <b:Author>
      <b:Author>
        <b:NameList>
          <b:Person>
            <b:Last>Carrión Maroto</b:Last>
            <b:First>Juan</b:First>
          </b:Person>
        </b:NameList>
      </b:Author>
    </b:Author>
    <b:Title>Estrategia: De la visión a la acción  </b:Title>
    <b:Year>2007</b:Year>
    <b:City>España</b:City>
    <b:Publisher>ESIC </b:Publisher>
    <b:RefOrder>34</b:RefOrder>
  </b:Source>
  <b:Source>
    <b:Tag>Sap98</b:Tag>
    <b:SourceType>Book</b:SourceType>
    <b:Guid>{3AC134B6-064F-4DB8-9747-1410FCC30D82}</b:Guid>
    <b:Author>
      <b:Author>
        <b:NameList>
          <b:Person>
            <b:Last>Sapag Chain</b:Last>
            <b:First>Nassir</b:First>
          </b:Person>
          <b:Person>
            <b:Last>Sapag Chain</b:Last>
            <b:First>Reinaldo</b:First>
          </b:Person>
        </b:NameList>
      </b:Author>
    </b:Author>
    <b:Title>Preparación y Evaluación de Proyectos </b:Title>
    <b:Year>1998</b:Year>
    <b:City>Santafé de Bogotá D.C. </b:City>
    <b:Publisher>McGraw-Hill </b:Publisher>
    <b:RefOrder>35</b:RefOrder>
  </b:Source>
  <b:Source>
    <b:Tag>Her05</b:Tag>
    <b:SourceType>Book</b:SourceType>
    <b:Guid>{B44DA448-659D-4424-947B-265D301150A2}</b:Guid>
    <b:Author>
      <b:Author>
        <b:NameList>
          <b:Person>
            <b:Last>Hernández Hernández</b:Last>
            <b:First>Abraham</b:First>
          </b:Person>
          <b:Person>
            <b:Last>Hernández Villalobos</b:Last>
            <b:First>Abraham</b:First>
          </b:Person>
          <b:Person>
            <b:Last>Hernández Suárez</b:Last>
            <b:First>Alejandro</b:First>
          </b:Person>
        </b:NameList>
      </b:Author>
    </b:Author>
    <b:Title>Formulación y Evaluación de proyectos de inversión</b:Title>
    <b:Year>2005</b:Year>
    <b:City>México</b:City>
    <b:Publisher>Thomson Editores</b:Publisher>
    <b:RefOrder>36</b:RefOrder>
  </b:Source>
  <b:Source>
    <b:Tag>Agu</b:Tag>
    <b:SourceType>Book</b:SourceType>
    <b:Guid>{7A05FDDF-5CAB-48A4-AD44-28783B359FDE}</b:Guid>
    <b:Author>
      <b:Author>
        <b:NameList>
          <b:Person>
            <b:Last>Agudelo R.</b:Last>
            <b:First>Digo</b:First>
            <b:Middle>A.</b:Middle>
          </b:Person>
          <b:Person>
            <b:Last>Fernández G</b:Last>
            <b:First>Andrés</b:First>
            <b:Middle>F.</b:Middle>
          </b:Person>
        </b:NameList>
      </b:Author>
    </b:Author>
    <b:Title>Elementos básicos de matemáticas financieras </b:Title>
    <b:Year>2000</b:Year>
    <b:City>Medellín</b:City>
    <b:Publisher>CARGRAPHICS S. A.</b:Publisher>
    <b:RefOrder>37</b:RefOrder>
  </b:Source>
</b:Sources>
</file>

<file path=customXml/itemProps1.xml><?xml version="1.0" encoding="utf-8"?>
<ds:datastoreItem xmlns:ds="http://schemas.openxmlformats.org/officeDocument/2006/customXml" ds:itemID="{E6EC558A-5924-4411-A219-841577023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1714</Words>
  <Characters>10028</Characters>
  <Application>Microsoft Office Word</Application>
  <DocSecurity>0</DocSecurity>
  <Lines>218</Lines>
  <Paragraphs>121</Paragraphs>
  <ScaleCrop>false</ScaleCrop>
  <HeadingPairs>
    <vt:vector size="2" baseType="variant">
      <vt:variant>
        <vt:lpstr>Título</vt:lpstr>
      </vt:variant>
      <vt:variant>
        <vt:i4>1</vt:i4>
      </vt:variant>
    </vt:vector>
  </HeadingPairs>
  <TitlesOfParts>
    <vt:vector size="1" baseType="lpstr">
      <vt:lpstr>ESCUELA DE INGENIERIA</vt:lpstr>
    </vt:vector>
  </TitlesOfParts>
  <Company>Eafit</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DE INGENIERIA</dc:title>
  <dc:subject/>
  <dc:creator>Informatica</dc:creator>
  <cp:keywords/>
  <dc:description/>
  <cp:lastModifiedBy>Elkin Arcesio Gomez Salazar</cp:lastModifiedBy>
  <cp:revision>13</cp:revision>
  <cp:lastPrinted>2026-09-04T17:05:00Z</cp:lastPrinted>
  <dcterms:created xsi:type="dcterms:W3CDTF">2018-10-08T13:25:00Z</dcterms:created>
  <dcterms:modified xsi:type="dcterms:W3CDTF">2026-09-04T17:09:00Z</dcterms:modified>
</cp:coreProperties>
</file>