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Arial" w:hAnsi="Arial"/>
          <w:b/>
          <w:sz w:val="44"/>
        </w:rPr>
        <w:t>NBA Player Box-Score Prop Projection System</w:t>
      </w:r>
    </w:p>
    <w:p>
      <w:pPr>
        <w:jc w:val="center"/>
      </w:pPr>
      <w:r>
        <w:rPr>
          <w:rFonts w:ascii="Arial" w:hAnsi="Arial"/>
          <w:b/>
          <w:sz w:val="32"/>
        </w:rPr>
        <w:t>Quantitative Work Paper and Model Documentation</w:t>
      </w:r>
    </w:p>
    <w:p>
      <w:pPr>
        <w:jc w:val="center"/>
      </w:pPr>
      <w:r>
        <w:rPr>
          <w:b/>
        </w:rPr>
        <w:br/>
        <w:t>Frozen deployment ID</w:t>
        <w:br/>
      </w:r>
      <w:r>
        <w:rPr>
          <w:b/>
          <w:sz w:val="26"/>
        </w:rPr>
        <w:t>nba_prop_quant_20260818T205213Z</w:t>
      </w:r>
    </w:p>
    <w:p>
      <w:pPr>
        <w:jc w:val="center"/>
      </w:pPr>
      <w:r>
        <w:br/>
        <w:t>Deployment stage: external_test_deployment</w:t>
        <w:br/>
      </w:r>
      <w:r>
        <w:t>Prepared: August 19, 2026</w:t>
      </w:r>
    </w:p>
    <w:p/>
    <w:p>
      <w:pPr>
        <w:spacing w:before="80" w:after="120"/>
        <w:ind w:left="288" w:right="288"/>
      </w:pPr>
      <w:r>
        <w:rPr>
          <w:i/>
          <w:sz w:val="18"/>
        </w:rPr>
        <w:t>Purpose: document the frozen pregame NBA player-prop pricing architecture, its empirical development results, production policy, interpretation, known limitations, remaining operational acceptance steps, and the constant-control framework required for a full model package. The 2025 sportsbook sample is development/model-selection evidence. The 2026-27 season remains the first prospective external market test.</w:t>
      </w:r>
    </w:p>
    <w:p>
      <w:r>
        <w:br w:type="page"/>
      </w:r>
    </w:p>
    <w:p>
      <w:pPr>
        <w:pStyle w:val="Heading1"/>
      </w:pPr>
      <w:r>
        <w:t>1. Executive conclusion</w:t>
      </w:r>
    </w:p>
    <w:p>
      <w:r>
        <w:t>The model is packageable and interpretable at the system level. Its frozen deployment is reproducibly identified by a SHA-256 production manifest, its pregame pricing policy is explicit, and the architecture separates minutes, target means, count distributions, dependence, calibration, market comparison, capture, and grading.</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shd w:fill="D9EAF7"/>
            <w:vAlign w:val="center"/>
          </w:tcPr>
          <w:p>
            <w:pPr>
              <w:jc w:val="center"/>
            </w:pPr>
            <w:r>
              <w:rPr>
                <w:rFonts w:ascii="Arial" w:hAnsi="Arial"/>
                <w:b/>
                <w:sz w:val="16"/>
              </w:rPr>
              <w:t>Question</w:t>
            </w:r>
          </w:p>
        </w:tc>
        <w:tc>
          <w:tcPr>
            <w:tcW w:type="dxa" w:w="1440"/>
            <w:shd w:fill="D9EAF7"/>
            <w:vAlign w:val="center"/>
          </w:tcPr>
          <w:p>
            <w:pPr>
              <w:jc w:val="center"/>
            </w:pPr>
            <w:r>
              <w:rPr>
                <w:rFonts w:ascii="Arial" w:hAnsi="Arial"/>
                <w:b/>
                <w:sz w:val="16"/>
              </w:rPr>
              <w:t>Status</w:t>
            </w:r>
          </w:p>
        </w:tc>
        <w:tc>
          <w:tcPr>
            <w:tcW w:type="dxa" w:w="6768"/>
            <w:shd w:fill="D9EAF7"/>
            <w:vAlign w:val="center"/>
          </w:tcPr>
          <w:p>
            <w:pPr>
              <w:jc w:val="center"/>
            </w:pPr>
            <w:r>
              <w:rPr>
                <w:rFonts w:ascii="Arial" w:hAnsi="Arial"/>
                <w:b/>
                <w:sz w:val="16"/>
              </w:rPr>
              <w:t>Work-paper conclusion</w:t>
            </w:r>
          </w:p>
        </w:tc>
      </w:tr>
      <w:tr>
        <w:tc>
          <w:tcPr>
            <w:tcW w:type="dxa" w:w="2160"/>
            <w:vAlign w:val="center"/>
          </w:tcPr>
          <w:p>
            <w:r>
              <w:rPr>
                <w:rFonts w:ascii="Arial" w:hAnsi="Arial"/>
                <w:sz w:val="16"/>
              </w:rPr>
              <w:t>Packageable</w:t>
            </w:r>
          </w:p>
        </w:tc>
        <w:tc>
          <w:tcPr>
            <w:tcW w:type="dxa" w:w="1440"/>
            <w:vAlign w:val="center"/>
          </w:tcPr>
          <w:p>
            <w:r>
              <w:rPr>
                <w:rFonts w:ascii="Arial" w:hAnsi="Arial"/>
                <w:sz w:val="16"/>
              </w:rPr>
              <w:t>YES</w:t>
            </w:r>
          </w:p>
        </w:tc>
        <w:tc>
          <w:tcPr>
            <w:tcW w:type="dxa" w:w="6768"/>
            <w:vAlign w:val="center"/>
          </w:tcPr>
          <w:p>
            <w:r>
              <w:rPr>
                <w:rFonts w:ascii="Arial" w:hAnsi="Arial"/>
                <w:sz w:val="16"/>
              </w:rPr>
              <w:t>Frozen manifest, hashed model artifacts/source/scripts/configs, reproducible packaging path.</w:t>
            </w:r>
          </w:p>
        </w:tc>
      </w:tr>
      <w:tr>
        <w:tc>
          <w:tcPr>
            <w:tcW w:type="dxa" w:w="2160"/>
            <w:vAlign w:val="center"/>
          </w:tcPr>
          <w:p>
            <w:r>
              <w:rPr>
                <w:rFonts w:ascii="Arial" w:hAnsi="Arial"/>
                <w:sz w:val="16"/>
              </w:rPr>
              <w:t>Structurally interpretable</w:t>
            </w:r>
          </w:p>
        </w:tc>
        <w:tc>
          <w:tcPr>
            <w:tcW w:type="dxa" w:w="1440"/>
            <w:vAlign w:val="center"/>
          </w:tcPr>
          <w:p>
            <w:r>
              <w:rPr>
                <w:rFonts w:ascii="Arial" w:hAnsi="Arial"/>
                <w:sz w:val="16"/>
              </w:rPr>
              <w:t>YES</w:t>
            </w:r>
          </w:p>
        </w:tc>
        <w:tc>
          <w:tcPr>
            <w:tcW w:type="dxa" w:w="6768"/>
            <w:vAlign w:val="center"/>
          </w:tcPr>
          <w:p>
            <w:r>
              <w:rPr>
                <w:rFonts w:ascii="Arial" w:hAnsi="Arial"/>
                <w:sz w:val="16"/>
              </w:rPr>
              <w:t>Minutes -&gt; selected target means -&gt; ZINB marginals -&gt; combo dependence -&gt; calibration -&gt; fair price.</w:t>
            </w:r>
          </w:p>
        </w:tc>
      </w:tr>
      <w:tr>
        <w:tc>
          <w:tcPr>
            <w:tcW w:type="dxa" w:w="2160"/>
            <w:vAlign w:val="center"/>
          </w:tcPr>
          <w:p>
            <w:r>
              <w:rPr>
                <w:rFonts w:ascii="Arial" w:hAnsi="Arial"/>
                <w:sz w:val="16"/>
              </w:rPr>
              <w:t>Local/tree-level transparency</w:t>
            </w:r>
          </w:p>
        </w:tc>
        <w:tc>
          <w:tcPr>
            <w:tcW w:type="dxa" w:w="1440"/>
            <w:vAlign w:val="center"/>
          </w:tcPr>
          <w:p>
            <w:r>
              <w:rPr>
                <w:rFonts w:ascii="Arial" w:hAnsi="Arial"/>
                <w:sz w:val="16"/>
              </w:rPr>
              <w:t>PARTIAL</w:t>
            </w:r>
          </w:p>
        </w:tc>
        <w:tc>
          <w:tcPr>
            <w:tcW w:type="dxa" w:w="6768"/>
            <w:vAlign w:val="center"/>
          </w:tcPr>
          <w:p>
            <w:r>
              <w:rPr>
                <w:rFonts w:ascii="Arial" w:hAnsi="Arial"/>
                <w:sz w:val="16"/>
              </w:rPr>
              <w:t>XGBoost components are nonlinear; structural decomposition is clear, but reviewer-grade tree attribution should be added if desired.</w:t>
            </w:r>
          </w:p>
        </w:tc>
      </w:tr>
      <w:tr>
        <w:tc>
          <w:tcPr>
            <w:tcW w:type="dxa" w:w="2160"/>
            <w:vAlign w:val="center"/>
          </w:tcPr>
          <w:p>
            <w:r>
              <w:rPr>
                <w:rFonts w:ascii="Arial" w:hAnsi="Arial"/>
                <w:sz w:val="16"/>
              </w:rPr>
              <w:t>Predictive pricing architecture</w:t>
            </w:r>
          </w:p>
        </w:tc>
        <w:tc>
          <w:tcPr>
            <w:tcW w:type="dxa" w:w="1440"/>
            <w:vAlign w:val="center"/>
          </w:tcPr>
          <w:p>
            <w:r>
              <w:rPr>
                <w:rFonts w:ascii="Arial" w:hAnsi="Arial"/>
                <w:sz w:val="16"/>
              </w:rPr>
              <w:t>READY</w:t>
            </w:r>
          </w:p>
        </w:tc>
        <w:tc>
          <w:tcPr>
            <w:tcW w:type="dxa" w:w="6768"/>
            <w:vAlign w:val="center"/>
          </w:tcPr>
          <w:p>
            <w:r>
              <w:rPr>
                <w:rFonts w:ascii="Arial" w:hAnsi="Arial"/>
                <w:sz w:val="16"/>
              </w:rPr>
              <w:t>Statistical architecture is frozen; first real live-slate runtime acceptance is still outstanding.</w:t>
            </w:r>
          </w:p>
        </w:tc>
      </w:tr>
      <w:tr>
        <w:tc>
          <w:tcPr>
            <w:tcW w:type="dxa" w:w="2160"/>
            <w:vAlign w:val="center"/>
          </w:tcPr>
          <w:p>
            <w:r>
              <w:rPr>
                <w:rFonts w:ascii="Arial" w:hAnsi="Arial"/>
                <w:sz w:val="16"/>
              </w:rPr>
              <w:t>Broad sportsbook edge proven</w:t>
            </w:r>
          </w:p>
        </w:tc>
        <w:tc>
          <w:tcPr>
            <w:tcW w:type="dxa" w:w="1440"/>
            <w:vAlign w:val="center"/>
          </w:tcPr>
          <w:p>
            <w:r>
              <w:rPr>
                <w:rFonts w:ascii="Arial" w:hAnsi="Arial"/>
                <w:sz w:val="16"/>
              </w:rPr>
              <w:t>NO</w:t>
            </w:r>
          </w:p>
        </w:tc>
        <w:tc>
          <w:tcPr>
            <w:tcW w:type="dxa" w:w="6768"/>
            <w:vAlign w:val="center"/>
          </w:tcPr>
          <w:p>
            <w:r>
              <w:rPr>
                <w:rFonts w:ascii="Arial" w:hAnsi="Arial"/>
                <w:sz w:val="16"/>
              </w:rPr>
              <w:t>Selected calibrated model is approximately tied with/slightly behind the market overall in 2025 development proper scoring.</w:t>
            </w:r>
          </w:p>
        </w:tc>
      </w:tr>
      <w:tr>
        <w:tc>
          <w:tcPr>
            <w:tcW w:type="dxa" w:w="2160"/>
            <w:vAlign w:val="center"/>
          </w:tcPr>
          <w:p>
            <w:r>
              <w:rPr>
                <w:rFonts w:ascii="Arial" w:hAnsi="Arial"/>
                <w:sz w:val="16"/>
              </w:rPr>
              <w:t>Automatic betting threshold</w:t>
            </w:r>
          </w:p>
        </w:tc>
        <w:tc>
          <w:tcPr>
            <w:tcW w:type="dxa" w:w="1440"/>
            <w:vAlign w:val="center"/>
          </w:tcPr>
          <w:p>
            <w:r>
              <w:rPr>
                <w:rFonts w:ascii="Arial" w:hAnsi="Arial"/>
                <w:sz w:val="16"/>
              </w:rPr>
              <w:t>NONE</w:t>
            </w:r>
          </w:p>
        </w:tc>
        <w:tc>
          <w:tcPr>
            <w:tcW w:type="dxa" w:w="6768"/>
            <w:vAlign w:val="center"/>
          </w:tcPr>
          <w:p>
            <w:r>
              <w:rPr>
                <w:rFonts w:ascii="Arial" w:hAnsi="Arial"/>
                <w:sz w:val="16"/>
              </w:rPr>
              <w:t>1%, 2%, 3%, 5%, 7.5%, 10% remain monitoring thresholds only.</w:t>
            </w:r>
          </w:p>
        </w:tc>
      </w:tr>
    </w:tbl>
    <w:p/>
    <w:p>
      <w:pPr>
        <w:pStyle w:val="Heading1"/>
      </w:pPr>
      <w:r>
        <w:t>2. Scope and objective</w:t>
      </w:r>
    </w:p>
    <w:p>
      <w:r>
        <w:t>The production scope is pregame player box-score proposition pricing for points, rebounds, assists, steals, blocks, made threes, and supported additive combination markets. The system generates player-game expected values, discrete probability distributions, over/under probabilities, fair American prices, market de-vig comparisons, calibrated model edges, and monitoring EV. It does not place wagers.</w:t>
      </w:r>
    </w:p>
    <w:p>
      <w:pPr>
        <w:pStyle w:val="ListBullet"/>
        <w:spacing w:after="40"/>
      </w:pPr>
      <w:r>
        <w:t>Historical backbone: NBA season labels 2001-2025 for standard player-game data.</w:t>
      </w:r>
    </w:p>
    <w:p>
      <w:pPr>
        <w:pStyle w:val="ListBullet"/>
        <w:spacing w:after="40"/>
      </w:pPr>
      <w:r>
        <w:t>Advanced player-game data: used from the available modern archive beginning in 2015.</w:t>
      </w:r>
    </w:p>
    <w:p>
      <w:pPr>
        <w:pStyle w:val="ListBullet"/>
        <w:spacing w:after="40"/>
      </w:pPr>
      <w:r>
        <w:t>Current-season 2026 data: treated as time-varying input only after completed games are available.</w:t>
      </w:r>
    </w:p>
    <w:p>
      <w:pPr>
        <w:pStyle w:val="ListBullet"/>
        <w:spacing w:after="40"/>
      </w:pPr>
      <w:r>
        <w:t>Current injury endpoint: current snapshot only; not retroactively treated as a historical injury archive.</w:t>
      </w:r>
    </w:p>
    <w:p>
      <w:pPr>
        <w:pStyle w:val="ListBullet"/>
        <w:spacing w:after="40"/>
      </w:pPr>
      <w:r>
        <w:t>2025 opening-prop sample: development/model-selection evidence, not an untouched external test.</w:t>
      </w:r>
    </w:p>
    <w:p>
      <w:pPr>
        <w:pStyle w:val="ListBullet"/>
        <w:spacing w:after="40"/>
      </w:pPr>
      <w:r>
        <w:t>2026-27: first prospective external market test.</w:t>
      </w:r>
    </w:p>
    <w:p>
      <w:pPr>
        <w:pStyle w:val="Heading1"/>
      </w:pPr>
      <w:r>
        <w:t>3. Data architecture and information-set controls</w:t>
      </w:r>
    </w:p>
    <w:p>
      <w:r>
        <w:t>The pipeline is designed around chronological information sets. Historical player features, dynamic priors, team context, advanced priors, experience, rest, and schedule context are constructed before the target game. Target models consume walk-forward out-of-fold expected minutes rather than realized future minutes during development.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shd w:fill="D9EAF7"/>
            <w:vAlign w:val="center"/>
          </w:tcPr>
          <w:p>
            <w:pPr>
              <w:jc w:val="center"/>
            </w:pPr>
            <w:r>
              <w:rPr>
                <w:rFonts w:ascii="Arial" w:hAnsi="Arial"/>
                <w:b/>
                <w:sz w:val="16"/>
              </w:rPr>
              <w:t>Source layer</w:t>
            </w:r>
          </w:p>
        </w:tc>
        <w:tc>
          <w:tcPr>
            <w:tcW w:type="dxa" w:w="2592"/>
            <w:shd w:fill="D9EAF7"/>
            <w:vAlign w:val="center"/>
          </w:tcPr>
          <w:p>
            <w:pPr>
              <w:jc w:val="center"/>
            </w:pPr>
            <w:r>
              <w:rPr>
                <w:rFonts w:ascii="Arial" w:hAnsi="Arial"/>
                <w:b/>
                <w:sz w:val="16"/>
              </w:rPr>
              <w:t>Coverage / timing</w:t>
            </w:r>
          </w:p>
        </w:tc>
        <w:tc>
          <w:tcPr>
            <w:tcW w:type="dxa" w:w="5472"/>
            <w:shd w:fill="D9EAF7"/>
            <w:vAlign w:val="center"/>
          </w:tcPr>
          <w:p>
            <w:pPr>
              <w:jc w:val="center"/>
            </w:pPr>
            <w:r>
              <w:rPr>
                <w:rFonts w:ascii="Arial" w:hAnsi="Arial"/>
                <w:b/>
                <w:sz w:val="16"/>
              </w:rPr>
              <w:t>Use</w:t>
            </w:r>
          </w:p>
        </w:tc>
      </w:tr>
      <w:tr>
        <w:tc>
          <w:tcPr>
            <w:tcW w:type="dxa" w:w="2304"/>
            <w:vAlign w:val="center"/>
          </w:tcPr>
          <w:p>
            <w:r>
              <w:rPr>
                <w:rFonts w:ascii="Arial" w:hAnsi="Arial"/>
                <w:sz w:val="16"/>
              </w:rPr>
              <w:t>Standard games / player stats</w:t>
            </w:r>
          </w:p>
        </w:tc>
        <w:tc>
          <w:tcPr>
            <w:tcW w:type="dxa" w:w="2592"/>
            <w:vAlign w:val="center"/>
          </w:tcPr>
          <w:p>
            <w:r>
              <w:rPr>
                <w:rFonts w:ascii="Arial" w:hAnsi="Arial"/>
                <w:sz w:val="16"/>
              </w:rPr>
              <w:t>2001-2025 completed history</w:t>
            </w:r>
          </w:p>
        </w:tc>
        <w:tc>
          <w:tcPr>
            <w:tcW w:type="dxa" w:w="5472"/>
            <w:vAlign w:val="center"/>
          </w:tcPr>
          <w:p>
            <w:r>
              <w:rPr>
                <w:rFonts w:ascii="Arial" w:hAnsi="Arial"/>
                <w:sz w:val="16"/>
              </w:rPr>
              <w:t>Base player-game outcomes, minutes, target box-score statistics.</w:t>
            </w:r>
          </w:p>
        </w:tc>
      </w:tr>
      <w:tr>
        <w:tc>
          <w:tcPr>
            <w:tcW w:type="dxa" w:w="2304"/>
            <w:vAlign w:val="center"/>
          </w:tcPr>
          <w:p>
            <w:r>
              <w:rPr>
                <w:rFonts w:ascii="Arial" w:hAnsi="Arial"/>
                <w:sz w:val="16"/>
              </w:rPr>
              <w:t>Advanced stats</w:t>
            </w:r>
          </w:p>
        </w:tc>
        <w:tc>
          <w:tcPr>
            <w:tcW w:type="dxa" w:w="2592"/>
            <w:vAlign w:val="center"/>
          </w:tcPr>
          <w:p>
            <w:r>
              <w:rPr>
                <w:rFonts w:ascii="Arial" w:hAnsi="Arial"/>
                <w:sz w:val="16"/>
              </w:rPr>
              <w:t>2015-2025</w:t>
            </w:r>
          </w:p>
        </w:tc>
        <w:tc>
          <w:tcPr>
            <w:tcW w:type="dxa" w:w="5472"/>
            <w:vAlign w:val="center"/>
          </w:tcPr>
          <w:p>
            <w:r>
              <w:rPr>
                <w:rFonts w:ascii="Arial" w:hAnsi="Arial"/>
                <w:sz w:val="16"/>
              </w:rPr>
              <w:t>Possession/role/context priors where supported.</w:t>
            </w:r>
          </w:p>
        </w:tc>
      </w:tr>
      <w:tr>
        <w:tc>
          <w:tcPr>
            <w:tcW w:type="dxa" w:w="2304"/>
            <w:vAlign w:val="center"/>
          </w:tcPr>
          <w:p>
            <w:r>
              <w:rPr>
                <w:rFonts w:ascii="Arial" w:hAnsi="Arial"/>
                <w:sz w:val="16"/>
              </w:rPr>
              <w:t>Current injuries</w:t>
            </w:r>
          </w:p>
        </w:tc>
        <w:tc>
          <w:tcPr>
            <w:tcW w:type="dxa" w:w="2592"/>
            <w:vAlign w:val="center"/>
          </w:tcPr>
          <w:p>
            <w:r>
              <w:rPr>
                <w:rFonts w:ascii="Arial" w:hAnsi="Arial"/>
                <w:sz w:val="16"/>
              </w:rPr>
              <w:t>Point-in-time current snapshot</w:t>
            </w:r>
          </w:p>
        </w:tc>
        <w:tc>
          <w:tcPr>
            <w:tcW w:type="dxa" w:w="5472"/>
            <w:vAlign w:val="center"/>
          </w:tcPr>
          <w:p>
            <w:r>
              <w:rPr>
                <w:rFonts w:ascii="Arial" w:hAnsi="Arial"/>
                <w:sz w:val="16"/>
              </w:rPr>
              <w:t>Availability/minutes/usage adjustment in live pregame pricing.</w:t>
            </w:r>
          </w:p>
        </w:tc>
      </w:tr>
      <w:tr>
        <w:tc>
          <w:tcPr>
            <w:tcW w:type="dxa" w:w="2304"/>
            <w:vAlign w:val="center"/>
          </w:tcPr>
          <w:p>
            <w:r>
              <w:rPr>
                <w:rFonts w:ascii="Arial" w:hAnsi="Arial"/>
                <w:sz w:val="16"/>
              </w:rPr>
              <w:t>Opening player props</w:t>
            </w:r>
          </w:p>
        </w:tc>
        <w:tc>
          <w:tcPr>
            <w:tcW w:type="dxa" w:w="2592"/>
            <w:vAlign w:val="center"/>
          </w:tcPr>
          <w:p>
            <w:r>
              <w:rPr>
                <w:rFonts w:ascii="Arial" w:hAnsi="Arial"/>
                <w:sz w:val="16"/>
              </w:rPr>
              <w:t>2025 coverage window</w:t>
            </w:r>
          </w:p>
        </w:tc>
        <w:tc>
          <w:tcPr>
            <w:tcW w:type="dxa" w:w="5472"/>
            <w:vAlign w:val="center"/>
          </w:tcPr>
          <w:p>
            <w:r>
              <w:rPr>
                <w:rFonts w:ascii="Arial" w:hAnsi="Arial"/>
                <w:sz w:val="16"/>
              </w:rPr>
              <w:t>Development market benchmark and calibration.</w:t>
            </w:r>
          </w:p>
        </w:tc>
      </w:tr>
      <w:tr>
        <w:tc>
          <w:tcPr>
            <w:tcW w:type="dxa" w:w="2304"/>
            <w:vAlign w:val="center"/>
          </w:tcPr>
          <w:p>
            <w:r>
              <w:rPr>
                <w:rFonts w:ascii="Arial" w:hAnsi="Arial"/>
                <w:sz w:val="16"/>
              </w:rPr>
              <w:t>2026 current-season stats</w:t>
            </w:r>
          </w:p>
        </w:tc>
        <w:tc>
          <w:tcPr>
            <w:tcW w:type="dxa" w:w="2592"/>
            <w:vAlign w:val="center"/>
          </w:tcPr>
          <w:p>
            <w:r>
              <w:rPr>
                <w:rFonts w:ascii="Arial" w:hAnsi="Arial"/>
                <w:sz w:val="16"/>
              </w:rPr>
              <w:t>Only completed games prior to target slate</w:t>
            </w:r>
          </w:p>
        </w:tc>
        <w:tc>
          <w:tcPr>
            <w:tcW w:type="dxa" w:w="5472"/>
            <w:vAlign w:val="center"/>
          </w:tcPr>
          <w:p>
            <w:r>
              <w:rPr>
                <w:rFonts w:ascii="Arial" w:hAnsi="Arial"/>
                <w:sz w:val="16"/>
              </w:rPr>
              <w:t>Prospective updating; guarded by read-only preflight and strict ingester.</w:t>
            </w:r>
          </w:p>
        </w:tc>
      </w:tr>
    </w:tbl>
    <w:p/>
    <w:p>
      <w:r>
        <w:t>Key leakage controls include shifted historical features, chronological season/date folds, strict whole-date probability-calibration splits, history-date guards requiring historical outcomes to precede the target slate, and immutable prospective capture archives.</w:t>
      </w:r>
    </w:p>
    <w:p>
      <w:pPr>
        <w:pStyle w:val="Heading1"/>
      </w:pPr>
      <w:r>
        <w:t>4. Pregame model architecture</w:t>
      </w:r>
    </w:p>
    <w:p>
      <w:pPr>
        <w:pStyle w:val="Heading2"/>
      </w:pPr>
      <w:r>
        <w:t>4.1 Expected minutes</w:t>
      </w:r>
    </w:p>
    <w:p>
      <w:r>
        <w:t>Expected minutes are modeled separately because minutes are the dominant exposure term in player box-score production. The production minutes model is an XGBoost regressor trained and evaluated with season-forward out-of-fold predictions.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D9EAF7"/>
            <w:vAlign w:val="center"/>
          </w:tcPr>
          <w:p>
            <w:pPr>
              <w:jc w:val="center"/>
            </w:pPr>
            <w:r>
              <w:rPr>
                <w:rFonts w:ascii="Arial" w:hAnsi="Arial"/>
                <w:b/>
                <w:sz w:val="17"/>
              </w:rPr>
              <w:t>Metric / policy</w:t>
            </w:r>
          </w:p>
        </w:tc>
        <w:tc>
          <w:tcPr>
            <w:tcW w:type="dxa" w:w="6480"/>
            <w:shd w:fill="D9EAF7"/>
            <w:vAlign w:val="center"/>
          </w:tcPr>
          <w:p>
            <w:pPr>
              <w:jc w:val="center"/>
            </w:pPr>
            <w:r>
              <w:rPr>
                <w:rFonts w:ascii="Arial" w:hAnsi="Arial"/>
                <w:b/>
                <w:sz w:val="17"/>
              </w:rPr>
              <w:t>Result</w:t>
            </w:r>
          </w:p>
        </w:tc>
      </w:tr>
      <w:tr>
        <w:tc>
          <w:tcPr>
            <w:tcW w:type="dxa" w:w="3168"/>
            <w:vAlign w:val="center"/>
          </w:tcPr>
          <w:p>
            <w:r>
              <w:rPr>
                <w:rFonts w:ascii="Arial" w:hAnsi="Arial"/>
                <w:sz w:val="17"/>
              </w:rPr>
              <w:t>OOF MAE</w:t>
            </w:r>
          </w:p>
        </w:tc>
        <w:tc>
          <w:tcPr>
            <w:tcW w:type="dxa" w:w="6480"/>
            <w:vAlign w:val="center"/>
          </w:tcPr>
          <w:p>
            <w:r>
              <w:rPr>
                <w:rFonts w:ascii="Arial" w:hAnsi="Arial"/>
                <w:sz w:val="17"/>
              </w:rPr>
              <w:t>4.8835 minutes</w:t>
            </w:r>
          </w:p>
        </w:tc>
      </w:tr>
      <w:tr>
        <w:tc>
          <w:tcPr>
            <w:tcW w:type="dxa" w:w="3168"/>
            <w:vAlign w:val="center"/>
          </w:tcPr>
          <w:p>
            <w:r>
              <w:rPr>
                <w:rFonts w:ascii="Arial" w:hAnsi="Arial"/>
                <w:sz w:val="17"/>
              </w:rPr>
              <w:t>OOF RMSE</w:t>
            </w:r>
          </w:p>
        </w:tc>
        <w:tc>
          <w:tcPr>
            <w:tcW w:type="dxa" w:w="6480"/>
            <w:vAlign w:val="center"/>
          </w:tcPr>
          <w:p>
            <w:r>
              <w:rPr>
                <w:rFonts w:ascii="Arial" w:hAnsi="Arial"/>
                <w:sz w:val="17"/>
              </w:rPr>
              <w:t>6.3192 minutes</w:t>
            </w:r>
          </w:p>
        </w:tc>
      </w:tr>
      <w:tr>
        <w:tc>
          <w:tcPr>
            <w:tcW w:type="dxa" w:w="3168"/>
            <w:vAlign w:val="center"/>
          </w:tcPr>
          <w:p>
            <w:r>
              <w:rPr>
                <w:rFonts w:ascii="Arial" w:hAnsi="Arial"/>
                <w:sz w:val="17"/>
              </w:rPr>
              <w:t>Production calibration</w:t>
            </w:r>
          </w:p>
        </w:tc>
        <w:tc>
          <w:tcPr>
            <w:tcW w:type="dxa" w:w="6480"/>
            <w:vAlign w:val="center"/>
          </w:tcPr>
          <w:p>
            <w:r>
              <w:rPr>
                <w:rFonts w:ascii="Arial" w:hAnsi="Arial"/>
                <w:sz w:val="17"/>
              </w:rPr>
              <w:t>No global post-hoc minutes calibration</w:t>
            </w:r>
          </w:p>
        </w:tc>
      </w:tr>
    </w:tbl>
    <w:p/>
    <w:p>
      <w:pPr>
        <w:pStyle w:val="Heading2"/>
      </w:pPr>
      <w:r>
        <w:t>4.2 Dynamic player priors</w:t>
      </w:r>
    </w:p>
    <w:p>
      <w:r>
        <w:t>Player rate priors combine exponential-decay and state-space/Kalman-style estimates. These provide interpretable long-run and recency-weighted baselines. The steals state-noise parameter was explicitly locked to q = 0 in the tuned dynamic parameter file, with measurement variance r approximately 30.986778.</w:t>
      </w:r>
    </w:p>
    <w:p>
      <w:pPr>
        <w:spacing w:before="80" w:after="120"/>
        <w:ind w:left="288" w:right="288"/>
      </w:pPr>
      <w:r>
        <w:rPr>
          <w:i/>
          <w:sz w:val="18"/>
        </w:rPr>
        <w:t>Dynamic priors are not themselves the final prices. They are explanatory components and, for selected targets, enter the final mean through a frozen convex ensemble.</w:t>
      </w:r>
    </w:p>
    <w:p>
      <w:pPr>
        <w:pStyle w:val="Heading2"/>
      </w:pPr>
      <w:r>
        <w:t>4.3 Experience curves</w:t>
      </w:r>
    </w:p>
    <w:p>
      <w:r>
        <w:t>Because the current BALLDONTLIE player schema used in this project does not expose birth date, the system does not claim exact biological aging curves. It uses an interpretable career-experience spline based on years since draft or career-game fallback.</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600"/>
            <w:shd w:fill="D9EAF7"/>
            <w:vAlign w:val="center"/>
          </w:tcPr>
          <w:p>
            <w:pPr>
              <w:jc w:val="center"/>
            </w:pPr>
            <w:r>
              <w:rPr>
                <w:rFonts w:ascii="Arial" w:hAnsi="Arial"/>
                <w:b/>
                <w:sz w:val="17"/>
              </w:rPr>
              <w:t>Experience-curve constant</w:t>
            </w:r>
          </w:p>
        </w:tc>
        <w:tc>
          <w:tcPr>
            <w:tcW w:type="dxa" w:w="2160"/>
            <w:shd w:fill="D9EAF7"/>
            <w:vAlign w:val="center"/>
          </w:tcPr>
          <w:p>
            <w:pPr>
              <w:jc w:val="center"/>
            </w:pPr>
            <w:r>
              <w:rPr>
                <w:rFonts w:ascii="Arial" w:hAnsi="Arial"/>
                <w:b/>
                <w:sz w:val="17"/>
              </w:rPr>
              <w:t>Value</w:t>
            </w:r>
          </w:p>
        </w:tc>
      </w:tr>
      <w:tr>
        <w:tc>
          <w:tcPr>
            <w:tcW w:type="dxa" w:w="3600"/>
            <w:vAlign w:val="center"/>
          </w:tcPr>
          <w:p>
            <w:r>
              <w:rPr>
                <w:rFonts w:ascii="Arial" w:hAnsi="Arial"/>
                <w:sz w:val="17"/>
              </w:rPr>
              <w:t>Spline knots</w:t>
            </w:r>
          </w:p>
        </w:tc>
        <w:tc>
          <w:tcPr>
            <w:tcW w:type="dxa" w:w="2160"/>
            <w:vAlign w:val="center"/>
          </w:tcPr>
          <w:p>
            <w:r>
              <w:rPr>
                <w:rFonts w:ascii="Arial" w:hAnsi="Arial"/>
                <w:sz w:val="17"/>
              </w:rPr>
              <w:t>6</w:t>
            </w:r>
          </w:p>
        </w:tc>
      </w:tr>
      <w:tr>
        <w:tc>
          <w:tcPr>
            <w:tcW w:type="dxa" w:w="3600"/>
            <w:vAlign w:val="center"/>
          </w:tcPr>
          <w:p>
            <w:r>
              <w:rPr>
                <w:rFonts w:ascii="Arial" w:hAnsi="Arial"/>
                <w:sz w:val="17"/>
              </w:rPr>
              <w:t>Spline degree</w:t>
            </w:r>
          </w:p>
        </w:tc>
        <w:tc>
          <w:tcPr>
            <w:tcW w:type="dxa" w:w="2160"/>
            <w:vAlign w:val="center"/>
          </w:tcPr>
          <w:p>
            <w:r>
              <w:rPr>
                <w:rFonts w:ascii="Arial" w:hAnsi="Arial"/>
                <w:sz w:val="17"/>
              </w:rPr>
              <w:t>3</w:t>
            </w:r>
          </w:p>
        </w:tc>
      </w:tr>
      <w:tr>
        <w:tc>
          <w:tcPr>
            <w:tcW w:type="dxa" w:w="3600"/>
            <w:vAlign w:val="center"/>
          </w:tcPr>
          <w:p>
            <w:r>
              <w:rPr>
                <w:rFonts w:ascii="Arial" w:hAnsi="Arial"/>
                <w:sz w:val="17"/>
              </w:rPr>
              <w:t>Ridge alpha</w:t>
            </w:r>
          </w:p>
        </w:tc>
        <w:tc>
          <w:tcPr>
            <w:tcW w:type="dxa" w:w="2160"/>
            <w:vAlign w:val="center"/>
          </w:tcPr>
          <w:p>
            <w:r>
              <w:rPr>
                <w:rFonts w:ascii="Arial" w:hAnsi="Arial"/>
                <w:sz w:val="17"/>
              </w:rPr>
              <w:t>5.0</w:t>
            </w:r>
          </w:p>
        </w:tc>
      </w:tr>
    </w:tbl>
    <w:p/>
    <w:p>
      <w:pPr>
        <w:pStyle w:val="Heading2"/>
      </w:pPr>
      <w:r>
        <w:t>4.4 Target mean models</w:t>
      </w:r>
    </w:p>
    <w:p>
      <w:r>
        <w:t>Each target has an XGBoost mean model. A convex ensemble with exponential-decay and Kalman priors was accepted only when a conservative stability gate was met.</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008"/>
            <w:shd w:fill="D9EAF7"/>
            <w:vAlign w:val="center"/>
          </w:tcPr>
          <w:p>
            <w:pPr>
              <w:jc w:val="center"/>
            </w:pPr>
            <w:r>
              <w:rPr>
                <w:rFonts w:ascii="Arial" w:hAnsi="Arial"/>
                <w:b/>
                <w:sz w:val="16"/>
              </w:rPr>
              <w:t>Target</w:t>
            </w:r>
          </w:p>
        </w:tc>
        <w:tc>
          <w:tcPr>
            <w:tcW w:type="dxa" w:w="1728"/>
            <w:shd w:fill="D9EAF7"/>
            <w:vAlign w:val="center"/>
          </w:tcPr>
          <w:p>
            <w:pPr>
              <w:jc w:val="center"/>
            </w:pPr>
            <w:r>
              <w:rPr>
                <w:rFonts w:ascii="Arial" w:hAnsi="Arial"/>
                <w:b/>
                <w:sz w:val="16"/>
              </w:rPr>
              <w:t>Selected mean</w:t>
            </w:r>
          </w:p>
        </w:tc>
        <w:tc>
          <w:tcPr>
            <w:tcW w:type="dxa" w:w="1440"/>
            <w:shd w:fill="D9EAF7"/>
            <w:vAlign w:val="center"/>
          </w:tcPr>
          <w:p>
            <w:pPr>
              <w:jc w:val="center"/>
            </w:pPr>
            <w:r>
              <w:rPr>
                <w:rFonts w:ascii="Arial" w:hAnsi="Arial"/>
                <w:b/>
                <w:sz w:val="16"/>
              </w:rPr>
              <w:t>XGB wt.</w:t>
            </w:r>
          </w:p>
        </w:tc>
        <w:tc>
          <w:tcPr>
            <w:tcW w:type="dxa" w:w="1440"/>
            <w:shd w:fill="D9EAF7"/>
            <w:vAlign w:val="center"/>
          </w:tcPr>
          <w:p>
            <w:pPr>
              <w:jc w:val="center"/>
            </w:pPr>
            <w:r>
              <w:rPr>
                <w:rFonts w:ascii="Arial" w:hAnsi="Arial"/>
                <w:b/>
                <w:sz w:val="16"/>
              </w:rPr>
              <w:t>Decay wt.</w:t>
            </w:r>
          </w:p>
        </w:tc>
        <w:tc>
          <w:tcPr>
            <w:tcW w:type="dxa" w:w="1440"/>
            <w:shd w:fill="D9EAF7"/>
            <w:vAlign w:val="center"/>
          </w:tcPr>
          <w:p>
            <w:pPr>
              <w:jc w:val="center"/>
            </w:pPr>
            <w:r>
              <w:rPr>
                <w:rFonts w:ascii="Arial" w:hAnsi="Arial"/>
                <w:b/>
                <w:sz w:val="16"/>
              </w:rPr>
              <w:t>Kalman wt.</w:t>
            </w:r>
          </w:p>
        </w:tc>
      </w:tr>
      <w:tr>
        <w:tc>
          <w:tcPr>
            <w:tcW w:type="dxa" w:w="1008"/>
            <w:vAlign w:val="center"/>
          </w:tcPr>
          <w:p>
            <w:r>
              <w:rPr>
                <w:rFonts w:ascii="Arial" w:hAnsi="Arial"/>
                <w:sz w:val="16"/>
              </w:rPr>
              <w:t>PTS</w:t>
            </w:r>
          </w:p>
        </w:tc>
        <w:tc>
          <w:tcPr>
            <w:tcW w:type="dxa" w:w="1728"/>
            <w:vAlign w:val="center"/>
          </w:tcPr>
          <w:p>
            <w:r>
              <w:rPr>
                <w:rFonts w:ascii="Arial" w:hAnsi="Arial"/>
                <w:sz w:val="16"/>
              </w:rPr>
              <w:t>XGB</w:t>
            </w:r>
          </w:p>
        </w:tc>
        <w:tc>
          <w:tcPr>
            <w:tcW w:type="dxa" w:w="1440"/>
            <w:vAlign w:val="center"/>
          </w:tcPr>
          <w:p>
            <w:r>
              <w:rPr>
                <w:rFonts w:ascii="Arial" w:hAnsi="Arial"/>
                <w:sz w:val="16"/>
              </w:rPr>
              <w:t>-</w:t>
            </w:r>
          </w:p>
        </w:tc>
        <w:tc>
          <w:tcPr>
            <w:tcW w:type="dxa" w:w="1440"/>
            <w:vAlign w:val="center"/>
          </w:tcPr>
          <w:p>
            <w:r>
              <w:rPr>
                <w:rFonts w:ascii="Arial" w:hAnsi="Arial"/>
                <w:sz w:val="16"/>
              </w:rPr>
              <w:t>-</w:t>
            </w:r>
          </w:p>
        </w:tc>
        <w:tc>
          <w:tcPr>
            <w:tcW w:type="dxa" w:w="1440"/>
            <w:vAlign w:val="center"/>
          </w:tcPr>
          <w:p>
            <w:r>
              <w:rPr>
                <w:rFonts w:ascii="Arial" w:hAnsi="Arial"/>
                <w:sz w:val="16"/>
              </w:rPr>
              <w:t>-</w:t>
            </w:r>
          </w:p>
        </w:tc>
      </w:tr>
      <w:tr>
        <w:tc>
          <w:tcPr>
            <w:tcW w:type="dxa" w:w="1008"/>
            <w:vAlign w:val="center"/>
          </w:tcPr>
          <w:p>
            <w:r>
              <w:rPr>
                <w:rFonts w:ascii="Arial" w:hAnsi="Arial"/>
                <w:sz w:val="16"/>
              </w:rPr>
              <w:t>REB</w:t>
            </w:r>
          </w:p>
        </w:tc>
        <w:tc>
          <w:tcPr>
            <w:tcW w:type="dxa" w:w="1728"/>
            <w:vAlign w:val="center"/>
          </w:tcPr>
          <w:p>
            <w:r>
              <w:rPr>
                <w:rFonts w:ascii="Arial" w:hAnsi="Arial"/>
                <w:sz w:val="16"/>
              </w:rPr>
              <w:t>Ensemble</w:t>
            </w:r>
          </w:p>
        </w:tc>
        <w:tc>
          <w:tcPr>
            <w:tcW w:type="dxa" w:w="1440"/>
            <w:vAlign w:val="center"/>
          </w:tcPr>
          <w:p>
            <w:r>
              <w:rPr>
                <w:rFonts w:ascii="Arial" w:hAnsi="Arial"/>
                <w:sz w:val="16"/>
              </w:rPr>
              <w:t>0.6255718372</w:t>
            </w:r>
          </w:p>
        </w:tc>
        <w:tc>
          <w:tcPr>
            <w:tcW w:type="dxa" w:w="1440"/>
            <w:vAlign w:val="center"/>
          </w:tcPr>
          <w:p>
            <w:r>
              <w:rPr>
                <w:rFonts w:ascii="Arial" w:hAnsi="Arial"/>
                <w:sz w:val="16"/>
              </w:rPr>
              <w:t>0.3281494210</w:t>
            </w:r>
          </w:p>
        </w:tc>
        <w:tc>
          <w:tcPr>
            <w:tcW w:type="dxa" w:w="1440"/>
            <w:vAlign w:val="center"/>
          </w:tcPr>
          <w:p>
            <w:r>
              <w:rPr>
                <w:rFonts w:ascii="Arial" w:hAnsi="Arial"/>
                <w:sz w:val="16"/>
              </w:rPr>
              <w:t>0.0462787418</w:t>
            </w:r>
          </w:p>
        </w:tc>
      </w:tr>
      <w:tr>
        <w:tc>
          <w:tcPr>
            <w:tcW w:type="dxa" w:w="1008"/>
            <w:vAlign w:val="center"/>
          </w:tcPr>
          <w:p>
            <w:r>
              <w:rPr>
                <w:rFonts w:ascii="Arial" w:hAnsi="Arial"/>
                <w:sz w:val="16"/>
              </w:rPr>
              <w:t>AST</w:t>
            </w:r>
          </w:p>
        </w:tc>
        <w:tc>
          <w:tcPr>
            <w:tcW w:type="dxa" w:w="1728"/>
            <w:vAlign w:val="center"/>
          </w:tcPr>
          <w:p>
            <w:r>
              <w:rPr>
                <w:rFonts w:ascii="Arial" w:hAnsi="Arial"/>
                <w:sz w:val="16"/>
              </w:rPr>
              <w:t>XGB</w:t>
            </w:r>
          </w:p>
        </w:tc>
        <w:tc>
          <w:tcPr>
            <w:tcW w:type="dxa" w:w="1440"/>
            <w:vAlign w:val="center"/>
          </w:tcPr>
          <w:p>
            <w:r>
              <w:rPr>
                <w:rFonts w:ascii="Arial" w:hAnsi="Arial"/>
                <w:sz w:val="16"/>
              </w:rPr>
              <w:t>-</w:t>
            </w:r>
          </w:p>
        </w:tc>
        <w:tc>
          <w:tcPr>
            <w:tcW w:type="dxa" w:w="1440"/>
            <w:vAlign w:val="center"/>
          </w:tcPr>
          <w:p>
            <w:r>
              <w:rPr>
                <w:rFonts w:ascii="Arial" w:hAnsi="Arial"/>
                <w:sz w:val="16"/>
              </w:rPr>
              <w:t>-</w:t>
            </w:r>
          </w:p>
        </w:tc>
        <w:tc>
          <w:tcPr>
            <w:tcW w:type="dxa" w:w="1440"/>
            <w:vAlign w:val="center"/>
          </w:tcPr>
          <w:p>
            <w:r>
              <w:rPr>
                <w:rFonts w:ascii="Arial" w:hAnsi="Arial"/>
                <w:sz w:val="16"/>
              </w:rPr>
              <w:t>-</w:t>
            </w:r>
          </w:p>
        </w:tc>
      </w:tr>
      <w:tr>
        <w:tc>
          <w:tcPr>
            <w:tcW w:type="dxa" w:w="1008"/>
            <w:vAlign w:val="center"/>
          </w:tcPr>
          <w:p>
            <w:r>
              <w:rPr>
                <w:rFonts w:ascii="Arial" w:hAnsi="Arial"/>
                <w:sz w:val="16"/>
              </w:rPr>
              <w:t>STL</w:t>
            </w:r>
          </w:p>
        </w:tc>
        <w:tc>
          <w:tcPr>
            <w:tcW w:type="dxa" w:w="1728"/>
            <w:vAlign w:val="center"/>
          </w:tcPr>
          <w:p>
            <w:r>
              <w:rPr>
                <w:rFonts w:ascii="Arial" w:hAnsi="Arial"/>
                <w:sz w:val="16"/>
              </w:rPr>
              <w:t>XGB</w:t>
            </w:r>
          </w:p>
        </w:tc>
        <w:tc>
          <w:tcPr>
            <w:tcW w:type="dxa" w:w="1440"/>
            <w:vAlign w:val="center"/>
          </w:tcPr>
          <w:p>
            <w:r>
              <w:rPr>
                <w:rFonts w:ascii="Arial" w:hAnsi="Arial"/>
                <w:sz w:val="16"/>
              </w:rPr>
              <w:t>-</w:t>
            </w:r>
          </w:p>
        </w:tc>
        <w:tc>
          <w:tcPr>
            <w:tcW w:type="dxa" w:w="1440"/>
            <w:vAlign w:val="center"/>
          </w:tcPr>
          <w:p>
            <w:r>
              <w:rPr>
                <w:rFonts w:ascii="Arial" w:hAnsi="Arial"/>
                <w:sz w:val="16"/>
              </w:rPr>
              <w:t>-</w:t>
            </w:r>
          </w:p>
        </w:tc>
        <w:tc>
          <w:tcPr>
            <w:tcW w:type="dxa" w:w="1440"/>
            <w:vAlign w:val="center"/>
          </w:tcPr>
          <w:p>
            <w:r>
              <w:rPr>
                <w:rFonts w:ascii="Arial" w:hAnsi="Arial"/>
                <w:sz w:val="16"/>
              </w:rPr>
              <w:t>-</w:t>
            </w:r>
          </w:p>
        </w:tc>
      </w:tr>
      <w:tr>
        <w:tc>
          <w:tcPr>
            <w:tcW w:type="dxa" w:w="1008"/>
            <w:vAlign w:val="center"/>
          </w:tcPr>
          <w:p>
            <w:r>
              <w:rPr>
                <w:rFonts w:ascii="Arial" w:hAnsi="Arial"/>
                <w:sz w:val="16"/>
              </w:rPr>
              <w:t>BLK</w:t>
            </w:r>
          </w:p>
        </w:tc>
        <w:tc>
          <w:tcPr>
            <w:tcW w:type="dxa" w:w="1728"/>
            <w:vAlign w:val="center"/>
          </w:tcPr>
          <w:p>
            <w:r>
              <w:rPr>
                <w:rFonts w:ascii="Arial" w:hAnsi="Arial"/>
                <w:sz w:val="16"/>
              </w:rPr>
              <w:t>Ensemble</w:t>
            </w:r>
          </w:p>
        </w:tc>
        <w:tc>
          <w:tcPr>
            <w:tcW w:type="dxa" w:w="1440"/>
            <w:vAlign w:val="center"/>
          </w:tcPr>
          <w:p>
            <w:r>
              <w:rPr>
                <w:rFonts w:ascii="Arial" w:hAnsi="Arial"/>
                <w:sz w:val="16"/>
              </w:rPr>
              <w:t>0.6357476708</w:t>
            </w:r>
          </w:p>
        </w:tc>
        <w:tc>
          <w:tcPr>
            <w:tcW w:type="dxa" w:w="1440"/>
            <w:vAlign w:val="center"/>
          </w:tcPr>
          <w:p>
            <w:r>
              <w:rPr>
                <w:rFonts w:ascii="Arial" w:hAnsi="Arial"/>
                <w:sz w:val="16"/>
              </w:rPr>
              <w:t>0.3025358486</w:t>
            </w:r>
          </w:p>
        </w:tc>
        <w:tc>
          <w:tcPr>
            <w:tcW w:type="dxa" w:w="1440"/>
            <w:vAlign w:val="center"/>
          </w:tcPr>
          <w:p>
            <w:r>
              <w:rPr>
                <w:rFonts w:ascii="Arial" w:hAnsi="Arial"/>
                <w:sz w:val="16"/>
              </w:rPr>
              <w:t>0.0617164806</w:t>
            </w:r>
          </w:p>
        </w:tc>
      </w:tr>
      <w:tr>
        <w:tc>
          <w:tcPr>
            <w:tcW w:type="dxa" w:w="1008"/>
            <w:vAlign w:val="center"/>
          </w:tcPr>
          <w:p>
            <w:r>
              <w:rPr>
                <w:rFonts w:ascii="Arial" w:hAnsi="Arial"/>
                <w:sz w:val="16"/>
              </w:rPr>
              <w:t>FG3M</w:t>
            </w:r>
          </w:p>
        </w:tc>
        <w:tc>
          <w:tcPr>
            <w:tcW w:type="dxa" w:w="1728"/>
            <w:vAlign w:val="center"/>
          </w:tcPr>
          <w:p>
            <w:r>
              <w:rPr>
                <w:rFonts w:ascii="Arial" w:hAnsi="Arial"/>
                <w:sz w:val="16"/>
              </w:rPr>
              <w:t>XGB</w:t>
            </w:r>
          </w:p>
        </w:tc>
        <w:tc>
          <w:tcPr>
            <w:tcW w:type="dxa" w:w="1440"/>
            <w:vAlign w:val="center"/>
          </w:tcPr>
          <w:p>
            <w:r>
              <w:rPr>
                <w:rFonts w:ascii="Arial" w:hAnsi="Arial"/>
                <w:sz w:val="16"/>
              </w:rPr>
              <w:t>-</w:t>
            </w:r>
          </w:p>
        </w:tc>
        <w:tc>
          <w:tcPr>
            <w:tcW w:type="dxa" w:w="1440"/>
            <w:vAlign w:val="center"/>
          </w:tcPr>
          <w:p>
            <w:r>
              <w:rPr>
                <w:rFonts w:ascii="Arial" w:hAnsi="Arial"/>
                <w:sz w:val="16"/>
              </w:rPr>
              <w:t>-</w:t>
            </w:r>
          </w:p>
        </w:tc>
        <w:tc>
          <w:tcPr>
            <w:tcW w:type="dxa" w:w="1440"/>
            <w:vAlign w:val="center"/>
          </w:tcPr>
          <w:p>
            <w:r>
              <w:rPr>
                <w:rFonts w:ascii="Arial" w:hAnsi="Arial"/>
                <w:sz w:val="16"/>
              </w:rPr>
              <w:t>-</w:t>
            </w:r>
          </w:p>
        </w:tc>
      </w:tr>
    </w:tbl>
    <w:p/>
    <w:p>
      <w:r>
        <w:t>The strict selected-mean out-of-fold matrix contains 217,382 player-game rows across 2018-2025. The selection rule favors reproducibility and fold stability over marginal pooled gains.</w:t>
      </w:r>
    </w:p>
    <w:p>
      <w:pPr>
        <w:pStyle w:val="Heading2"/>
      </w:pPr>
      <w:r>
        <w:t>4.5 Marginal count distributions</w:t>
      </w:r>
    </w:p>
    <w:p>
      <w:r>
        <w:t>All six production targets use zero-inflated negative-binomial (ZINB) marginals. The implementation is mean-preserving: if pi is the zero-inflation probability, the count-component mean is adjusted to mu_count = mu_selected / (1 - pi), so the unconditional expectation remains exactly the selected mean forecast.</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152"/>
            <w:shd w:fill="D9EAF7"/>
            <w:vAlign w:val="center"/>
          </w:tcPr>
          <w:p>
            <w:pPr>
              <w:jc w:val="center"/>
            </w:pPr>
            <w:r>
              <w:rPr>
                <w:rFonts w:ascii="Arial" w:hAnsi="Arial"/>
                <w:b/>
                <w:sz w:val="16"/>
              </w:rPr>
              <w:t>Target</w:t>
            </w:r>
          </w:p>
        </w:tc>
        <w:tc>
          <w:tcPr>
            <w:tcW w:type="dxa" w:w="2160"/>
            <w:shd w:fill="D9EAF7"/>
            <w:vAlign w:val="center"/>
          </w:tcPr>
          <w:p>
            <w:pPr>
              <w:jc w:val="center"/>
            </w:pPr>
            <w:r>
              <w:rPr>
                <w:rFonts w:ascii="Arial" w:hAnsi="Arial"/>
                <w:b/>
                <w:sz w:val="16"/>
              </w:rPr>
              <w:t>Production marginal</w:t>
            </w:r>
          </w:p>
        </w:tc>
        <w:tc>
          <w:tcPr>
            <w:tcW w:type="dxa" w:w="2016"/>
            <w:shd w:fill="D9EAF7"/>
            <w:vAlign w:val="center"/>
          </w:tcPr>
          <w:p>
            <w:pPr>
              <w:jc w:val="center"/>
            </w:pPr>
            <w:r>
              <w:rPr>
                <w:rFonts w:ascii="Arial" w:hAnsi="Arial"/>
                <w:b/>
                <w:sz w:val="16"/>
              </w:rPr>
              <w:t>NLL gain vs NB</w:t>
            </w:r>
          </w:p>
        </w:tc>
        <w:tc>
          <w:tcPr>
            <w:tcW w:type="dxa" w:w="1728"/>
            <w:shd w:fill="D9EAF7"/>
            <w:vAlign w:val="center"/>
          </w:tcPr>
          <w:p>
            <w:pPr>
              <w:jc w:val="center"/>
            </w:pPr>
            <w:r>
              <w:rPr>
                <w:rFonts w:ascii="Arial" w:hAnsi="Arial"/>
                <w:b/>
                <w:sz w:val="16"/>
              </w:rPr>
              <w:t>Positive folds</w:t>
            </w:r>
          </w:p>
        </w:tc>
      </w:tr>
      <w:tr>
        <w:tc>
          <w:tcPr>
            <w:tcW w:type="dxa" w:w="1152"/>
            <w:vAlign w:val="center"/>
          </w:tcPr>
          <w:p>
            <w:r>
              <w:rPr>
                <w:rFonts w:ascii="Arial" w:hAnsi="Arial"/>
                <w:sz w:val="16"/>
              </w:rPr>
              <w:t>PTS</w:t>
            </w:r>
          </w:p>
        </w:tc>
        <w:tc>
          <w:tcPr>
            <w:tcW w:type="dxa" w:w="2160"/>
            <w:vAlign w:val="center"/>
          </w:tcPr>
          <w:p>
            <w:r>
              <w:rPr>
                <w:rFonts w:ascii="Arial" w:hAnsi="Arial"/>
                <w:sz w:val="16"/>
              </w:rPr>
              <w:t>ZINB</w:t>
            </w:r>
          </w:p>
        </w:tc>
        <w:tc>
          <w:tcPr>
            <w:tcW w:type="dxa" w:w="2016"/>
            <w:vAlign w:val="center"/>
          </w:tcPr>
          <w:p>
            <w:r>
              <w:rPr>
                <w:rFonts w:ascii="Arial" w:hAnsi="Arial"/>
                <w:sz w:val="16"/>
              </w:rPr>
              <w:t>+3.9001%</w:t>
            </w:r>
          </w:p>
        </w:tc>
        <w:tc>
          <w:tcPr>
            <w:tcW w:type="dxa" w:w="1728"/>
            <w:vAlign w:val="center"/>
          </w:tcPr>
          <w:p>
            <w:r>
              <w:rPr>
                <w:rFonts w:ascii="Arial" w:hAnsi="Arial"/>
                <w:sz w:val="16"/>
              </w:rPr>
              <w:t>5/5</w:t>
            </w:r>
          </w:p>
        </w:tc>
      </w:tr>
      <w:tr>
        <w:tc>
          <w:tcPr>
            <w:tcW w:type="dxa" w:w="1152"/>
            <w:vAlign w:val="center"/>
          </w:tcPr>
          <w:p>
            <w:r>
              <w:rPr>
                <w:rFonts w:ascii="Arial" w:hAnsi="Arial"/>
                <w:sz w:val="16"/>
              </w:rPr>
              <w:t>REB</w:t>
            </w:r>
          </w:p>
        </w:tc>
        <w:tc>
          <w:tcPr>
            <w:tcW w:type="dxa" w:w="2160"/>
            <w:vAlign w:val="center"/>
          </w:tcPr>
          <w:p>
            <w:r>
              <w:rPr>
                <w:rFonts w:ascii="Arial" w:hAnsi="Arial"/>
                <w:sz w:val="16"/>
              </w:rPr>
              <w:t>ZINB</w:t>
            </w:r>
          </w:p>
        </w:tc>
        <w:tc>
          <w:tcPr>
            <w:tcW w:type="dxa" w:w="2016"/>
            <w:vAlign w:val="center"/>
          </w:tcPr>
          <w:p>
            <w:r>
              <w:rPr>
                <w:rFonts w:ascii="Arial" w:hAnsi="Arial"/>
                <w:sz w:val="16"/>
              </w:rPr>
              <w:t>+0.5677%</w:t>
            </w:r>
          </w:p>
        </w:tc>
        <w:tc>
          <w:tcPr>
            <w:tcW w:type="dxa" w:w="1728"/>
            <w:vAlign w:val="center"/>
          </w:tcPr>
          <w:p>
            <w:r>
              <w:rPr>
                <w:rFonts w:ascii="Arial" w:hAnsi="Arial"/>
                <w:sz w:val="16"/>
              </w:rPr>
              <w:t>5/5</w:t>
            </w:r>
          </w:p>
        </w:tc>
      </w:tr>
      <w:tr>
        <w:tc>
          <w:tcPr>
            <w:tcW w:type="dxa" w:w="1152"/>
            <w:vAlign w:val="center"/>
          </w:tcPr>
          <w:p>
            <w:r>
              <w:rPr>
                <w:rFonts w:ascii="Arial" w:hAnsi="Arial"/>
                <w:sz w:val="16"/>
              </w:rPr>
              <w:t>AST</w:t>
            </w:r>
          </w:p>
        </w:tc>
        <w:tc>
          <w:tcPr>
            <w:tcW w:type="dxa" w:w="2160"/>
            <w:vAlign w:val="center"/>
          </w:tcPr>
          <w:p>
            <w:r>
              <w:rPr>
                <w:rFonts w:ascii="Arial" w:hAnsi="Arial"/>
                <w:sz w:val="16"/>
              </w:rPr>
              <w:t>ZINB</w:t>
            </w:r>
          </w:p>
        </w:tc>
        <w:tc>
          <w:tcPr>
            <w:tcW w:type="dxa" w:w="2016"/>
            <w:vAlign w:val="center"/>
          </w:tcPr>
          <w:p>
            <w:r>
              <w:rPr>
                <w:rFonts w:ascii="Arial" w:hAnsi="Arial"/>
                <w:sz w:val="16"/>
              </w:rPr>
              <w:t>+0.3995%</w:t>
            </w:r>
          </w:p>
        </w:tc>
        <w:tc>
          <w:tcPr>
            <w:tcW w:type="dxa" w:w="1728"/>
            <w:vAlign w:val="center"/>
          </w:tcPr>
          <w:p>
            <w:r>
              <w:rPr>
                <w:rFonts w:ascii="Arial" w:hAnsi="Arial"/>
                <w:sz w:val="16"/>
              </w:rPr>
              <w:t>5/5</w:t>
            </w:r>
          </w:p>
        </w:tc>
      </w:tr>
      <w:tr>
        <w:tc>
          <w:tcPr>
            <w:tcW w:type="dxa" w:w="1152"/>
            <w:vAlign w:val="center"/>
          </w:tcPr>
          <w:p>
            <w:r>
              <w:rPr>
                <w:rFonts w:ascii="Arial" w:hAnsi="Arial"/>
                <w:sz w:val="16"/>
              </w:rPr>
              <w:t>STL</w:t>
            </w:r>
          </w:p>
        </w:tc>
        <w:tc>
          <w:tcPr>
            <w:tcW w:type="dxa" w:w="2160"/>
            <w:vAlign w:val="center"/>
          </w:tcPr>
          <w:p>
            <w:r>
              <w:rPr>
                <w:rFonts w:ascii="Arial" w:hAnsi="Arial"/>
                <w:sz w:val="16"/>
              </w:rPr>
              <w:t>ZINB</w:t>
            </w:r>
          </w:p>
        </w:tc>
        <w:tc>
          <w:tcPr>
            <w:tcW w:type="dxa" w:w="2016"/>
            <w:vAlign w:val="center"/>
          </w:tcPr>
          <w:p>
            <w:r>
              <w:rPr>
                <w:rFonts w:ascii="Arial" w:hAnsi="Arial"/>
                <w:sz w:val="16"/>
              </w:rPr>
              <w:t>+0.1403%</w:t>
            </w:r>
          </w:p>
        </w:tc>
        <w:tc>
          <w:tcPr>
            <w:tcW w:type="dxa" w:w="1728"/>
            <w:vAlign w:val="center"/>
          </w:tcPr>
          <w:p>
            <w:r>
              <w:rPr>
                <w:rFonts w:ascii="Arial" w:hAnsi="Arial"/>
                <w:sz w:val="16"/>
              </w:rPr>
              <w:t>5/5</w:t>
            </w:r>
          </w:p>
        </w:tc>
      </w:tr>
      <w:tr>
        <w:tc>
          <w:tcPr>
            <w:tcW w:type="dxa" w:w="1152"/>
            <w:vAlign w:val="center"/>
          </w:tcPr>
          <w:p>
            <w:r>
              <w:rPr>
                <w:rFonts w:ascii="Arial" w:hAnsi="Arial"/>
                <w:sz w:val="16"/>
              </w:rPr>
              <w:t>BLK</w:t>
            </w:r>
          </w:p>
        </w:tc>
        <w:tc>
          <w:tcPr>
            <w:tcW w:type="dxa" w:w="2160"/>
            <w:vAlign w:val="center"/>
          </w:tcPr>
          <w:p>
            <w:r>
              <w:rPr>
                <w:rFonts w:ascii="Arial" w:hAnsi="Arial"/>
                <w:sz w:val="16"/>
              </w:rPr>
              <w:t>ZINB</w:t>
            </w:r>
          </w:p>
        </w:tc>
        <w:tc>
          <w:tcPr>
            <w:tcW w:type="dxa" w:w="2016"/>
            <w:vAlign w:val="center"/>
          </w:tcPr>
          <w:p>
            <w:r>
              <w:rPr>
                <w:rFonts w:ascii="Arial" w:hAnsi="Arial"/>
                <w:sz w:val="16"/>
              </w:rPr>
              <w:t>+0.1046%</w:t>
            </w:r>
          </w:p>
        </w:tc>
        <w:tc>
          <w:tcPr>
            <w:tcW w:type="dxa" w:w="1728"/>
            <w:vAlign w:val="center"/>
          </w:tcPr>
          <w:p>
            <w:r>
              <w:rPr>
                <w:rFonts w:ascii="Arial" w:hAnsi="Arial"/>
                <w:sz w:val="16"/>
              </w:rPr>
              <w:t>5/5</w:t>
            </w:r>
          </w:p>
        </w:tc>
      </w:tr>
      <w:tr>
        <w:tc>
          <w:tcPr>
            <w:tcW w:type="dxa" w:w="1152"/>
            <w:vAlign w:val="center"/>
          </w:tcPr>
          <w:p>
            <w:r>
              <w:rPr>
                <w:rFonts w:ascii="Arial" w:hAnsi="Arial"/>
                <w:sz w:val="16"/>
              </w:rPr>
              <w:t>FG3M</w:t>
            </w:r>
          </w:p>
        </w:tc>
        <w:tc>
          <w:tcPr>
            <w:tcW w:type="dxa" w:w="2160"/>
            <w:vAlign w:val="center"/>
          </w:tcPr>
          <w:p>
            <w:r>
              <w:rPr>
                <w:rFonts w:ascii="Arial" w:hAnsi="Arial"/>
                <w:sz w:val="16"/>
              </w:rPr>
              <w:t>ZINB</w:t>
            </w:r>
          </w:p>
        </w:tc>
        <w:tc>
          <w:tcPr>
            <w:tcW w:type="dxa" w:w="2016"/>
            <w:vAlign w:val="center"/>
          </w:tcPr>
          <w:p>
            <w:r>
              <w:rPr>
                <w:rFonts w:ascii="Arial" w:hAnsi="Arial"/>
                <w:sz w:val="16"/>
              </w:rPr>
              <w:t>+0.3082%</w:t>
            </w:r>
          </w:p>
        </w:tc>
        <w:tc>
          <w:tcPr>
            <w:tcW w:type="dxa" w:w="1728"/>
            <w:vAlign w:val="center"/>
          </w:tcPr>
          <w:p>
            <w:r>
              <w:rPr>
                <w:rFonts w:ascii="Arial" w:hAnsi="Arial"/>
                <w:sz w:val="16"/>
              </w:rPr>
              <w:t>5/5</w:t>
            </w:r>
          </w:p>
        </w:tc>
      </w:tr>
    </w:tbl>
    <w:p/>
    <w:p>
      <w:pPr>
        <w:pStyle w:val="Heading2"/>
      </w:pPr>
      <w:r>
        <w:t>4.6 Combination-prop dependence</w:t>
      </w:r>
    </w:p>
    <w:p>
      <w:r>
        <w:t>Combination markets use an explicit dependence policy. A Gaussian-copula framework was evaluated, but production only retains nonzero dependence where grouped validation was sufficiently stable. A production lambda of zero means pricing falls back to the independence convolution.</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592"/>
            <w:shd w:fill="D9EAF7"/>
            <w:vAlign w:val="center"/>
          </w:tcPr>
          <w:p>
            <w:pPr>
              <w:jc w:val="center"/>
            </w:pPr>
            <w:r>
              <w:rPr>
                <w:rFonts w:ascii="Arial" w:hAnsi="Arial"/>
                <w:b/>
                <w:sz w:val="16"/>
              </w:rPr>
              <w:t>Combo</w:t>
            </w:r>
          </w:p>
        </w:tc>
        <w:tc>
          <w:tcPr>
            <w:tcW w:type="dxa" w:w="1584"/>
            <w:shd w:fill="D9EAF7"/>
            <w:vAlign w:val="center"/>
          </w:tcPr>
          <w:p>
            <w:pPr>
              <w:jc w:val="center"/>
            </w:pPr>
            <w:r>
              <w:rPr>
                <w:rFonts w:ascii="Arial" w:hAnsi="Arial"/>
                <w:b/>
                <w:sz w:val="16"/>
              </w:rPr>
              <w:t>Best full-sample lambda</w:t>
            </w:r>
          </w:p>
        </w:tc>
        <w:tc>
          <w:tcPr>
            <w:tcW w:type="dxa" w:w="1728"/>
            <w:shd w:fill="D9EAF7"/>
            <w:vAlign w:val="center"/>
          </w:tcPr>
          <w:p>
            <w:pPr>
              <w:jc w:val="center"/>
            </w:pPr>
            <w:r>
              <w:rPr>
                <w:rFonts w:ascii="Arial" w:hAnsi="Arial"/>
                <w:b/>
                <w:sz w:val="16"/>
              </w:rPr>
              <w:t>Grouped-CV gain</w:t>
            </w:r>
          </w:p>
        </w:tc>
        <w:tc>
          <w:tcPr>
            <w:tcW w:type="dxa" w:w="1440"/>
            <w:shd w:fill="D9EAF7"/>
            <w:vAlign w:val="center"/>
          </w:tcPr>
          <w:p>
            <w:pPr>
              <w:jc w:val="center"/>
            </w:pPr>
            <w:r>
              <w:rPr>
                <w:rFonts w:ascii="Arial" w:hAnsi="Arial"/>
                <w:b/>
                <w:sz w:val="16"/>
              </w:rPr>
              <w:t>Nonneg. folds</w:t>
            </w:r>
          </w:p>
        </w:tc>
        <w:tc>
          <w:tcPr>
            <w:tcW w:type="dxa" w:w="1584"/>
            <w:shd w:fill="D9EAF7"/>
            <w:vAlign w:val="center"/>
          </w:tcPr>
          <w:p>
            <w:pPr>
              <w:jc w:val="center"/>
            </w:pPr>
            <w:r>
              <w:rPr>
                <w:rFonts w:ascii="Arial" w:hAnsi="Arial"/>
                <w:b/>
                <w:sz w:val="16"/>
              </w:rPr>
              <w:t>Production lambda</w:t>
            </w:r>
          </w:p>
        </w:tc>
      </w:tr>
      <w:tr>
        <w:tc>
          <w:tcPr>
            <w:tcW w:type="dxa" w:w="2592"/>
            <w:vAlign w:val="center"/>
          </w:tcPr>
          <w:p>
            <w:r>
              <w:rPr>
                <w:rFonts w:ascii="Arial" w:hAnsi="Arial"/>
                <w:sz w:val="16"/>
              </w:rPr>
              <w:t>Points + Rebounds</w:t>
            </w:r>
          </w:p>
        </w:tc>
        <w:tc>
          <w:tcPr>
            <w:tcW w:type="dxa" w:w="1584"/>
            <w:vAlign w:val="center"/>
          </w:tcPr>
          <w:p>
            <w:r>
              <w:rPr>
                <w:rFonts w:ascii="Arial" w:hAnsi="Arial"/>
                <w:sz w:val="16"/>
              </w:rPr>
              <w:t>0.50</w:t>
            </w:r>
          </w:p>
        </w:tc>
        <w:tc>
          <w:tcPr>
            <w:tcW w:type="dxa" w:w="1728"/>
            <w:vAlign w:val="center"/>
          </w:tcPr>
          <w:p>
            <w:r>
              <w:rPr>
                <w:rFonts w:ascii="Arial" w:hAnsi="Arial"/>
                <w:sz w:val="16"/>
              </w:rPr>
              <w:t>+0.0493%</w:t>
            </w:r>
          </w:p>
        </w:tc>
        <w:tc>
          <w:tcPr>
            <w:tcW w:type="dxa" w:w="1440"/>
            <w:vAlign w:val="center"/>
          </w:tcPr>
          <w:p>
            <w:r>
              <w:rPr>
                <w:rFonts w:ascii="Arial" w:hAnsi="Arial"/>
                <w:sz w:val="16"/>
              </w:rPr>
              <w:t>3/5</w:t>
            </w:r>
          </w:p>
        </w:tc>
        <w:tc>
          <w:tcPr>
            <w:tcW w:type="dxa" w:w="1584"/>
            <w:vAlign w:val="center"/>
          </w:tcPr>
          <w:p>
            <w:r>
              <w:rPr>
                <w:rFonts w:ascii="Arial" w:hAnsi="Arial"/>
                <w:sz w:val="16"/>
              </w:rPr>
              <w:t>0.00</w:t>
            </w:r>
          </w:p>
        </w:tc>
      </w:tr>
      <w:tr>
        <w:tc>
          <w:tcPr>
            <w:tcW w:type="dxa" w:w="2592"/>
            <w:vAlign w:val="center"/>
          </w:tcPr>
          <w:p>
            <w:r>
              <w:rPr>
                <w:rFonts w:ascii="Arial" w:hAnsi="Arial"/>
                <w:sz w:val="16"/>
              </w:rPr>
              <w:t>Points + Assists</w:t>
            </w:r>
          </w:p>
        </w:tc>
        <w:tc>
          <w:tcPr>
            <w:tcW w:type="dxa" w:w="1584"/>
            <w:vAlign w:val="center"/>
          </w:tcPr>
          <w:p>
            <w:r>
              <w:rPr>
                <w:rFonts w:ascii="Arial" w:hAnsi="Arial"/>
                <w:sz w:val="16"/>
              </w:rPr>
              <w:t>0.40</w:t>
            </w:r>
          </w:p>
        </w:tc>
        <w:tc>
          <w:tcPr>
            <w:tcW w:type="dxa" w:w="1728"/>
            <w:vAlign w:val="center"/>
          </w:tcPr>
          <w:p>
            <w:r>
              <w:rPr>
                <w:rFonts w:ascii="Arial" w:hAnsi="Arial"/>
                <w:sz w:val="16"/>
              </w:rPr>
              <w:t>-0.0210%</w:t>
            </w:r>
          </w:p>
        </w:tc>
        <w:tc>
          <w:tcPr>
            <w:tcW w:type="dxa" w:w="1440"/>
            <w:vAlign w:val="center"/>
          </w:tcPr>
          <w:p>
            <w:r>
              <w:rPr>
                <w:rFonts w:ascii="Arial" w:hAnsi="Arial"/>
                <w:sz w:val="16"/>
              </w:rPr>
              <w:t>3/5</w:t>
            </w:r>
          </w:p>
        </w:tc>
        <w:tc>
          <w:tcPr>
            <w:tcW w:type="dxa" w:w="1584"/>
            <w:vAlign w:val="center"/>
          </w:tcPr>
          <w:p>
            <w:r>
              <w:rPr>
                <w:rFonts w:ascii="Arial" w:hAnsi="Arial"/>
                <w:sz w:val="16"/>
              </w:rPr>
              <w:t>0.00</w:t>
            </w:r>
          </w:p>
        </w:tc>
      </w:tr>
      <w:tr>
        <w:tc>
          <w:tcPr>
            <w:tcW w:type="dxa" w:w="2592"/>
            <w:vAlign w:val="center"/>
          </w:tcPr>
          <w:p>
            <w:r>
              <w:rPr>
                <w:rFonts w:ascii="Arial" w:hAnsi="Arial"/>
                <w:sz w:val="16"/>
              </w:rPr>
              <w:t>Rebounds + Assists</w:t>
            </w:r>
          </w:p>
        </w:tc>
        <w:tc>
          <w:tcPr>
            <w:tcW w:type="dxa" w:w="1584"/>
            <w:vAlign w:val="center"/>
          </w:tcPr>
          <w:p>
            <w:r>
              <w:rPr>
                <w:rFonts w:ascii="Arial" w:hAnsi="Arial"/>
                <w:sz w:val="16"/>
              </w:rPr>
              <w:t>0.85</w:t>
            </w:r>
          </w:p>
        </w:tc>
        <w:tc>
          <w:tcPr>
            <w:tcW w:type="dxa" w:w="1728"/>
            <w:vAlign w:val="center"/>
          </w:tcPr>
          <w:p>
            <w:r>
              <w:rPr>
                <w:rFonts w:ascii="Arial" w:hAnsi="Arial"/>
                <w:sz w:val="16"/>
              </w:rPr>
              <w:t>+0.1900%</w:t>
            </w:r>
          </w:p>
        </w:tc>
        <w:tc>
          <w:tcPr>
            <w:tcW w:type="dxa" w:w="1440"/>
            <w:vAlign w:val="center"/>
          </w:tcPr>
          <w:p>
            <w:r>
              <w:rPr>
                <w:rFonts w:ascii="Arial" w:hAnsi="Arial"/>
                <w:sz w:val="16"/>
              </w:rPr>
              <w:t>4/5</w:t>
            </w:r>
          </w:p>
        </w:tc>
        <w:tc>
          <w:tcPr>
            <w:tcW w:type="dxa" w:w="1584"/>
            <w:vAlign w:val="center"/>
          </w:tcPr>
          <w:p>
            <w:r>
              <w:rPr>
                <w:rFonts w:ascii="Arial" w:hAnsi="Arial"/>
                <w:sz w:val="16"/>
              </w:rPr>
              <w:t>0.85</w:t>
            </w:r>
          </w:p>
        </w:tc>
      </w:tr>
      <w:tr>
        <w:tc>
          <w:tcPr>
            <w:tcW w:type="dxa" w:w="2592"/>
            <w:vAlign w:val="center"/>
          </w:tcPr>
          <w:p>
            <w:r>
              <w:rPr>
                <w:rFonts w:ascii="Arial" w:hAnsi="Arial"/>
                <w:sz w:val="16"/>
              </w:rPr>
              <w:t>Points + Rebounds + Assists</w:t>
            </w:r>
          </w:p>
        </w:tc>
        <w:tc>
          <w:tcPr>
            <w:tcW w:type="dxa" w:w="1584"/>
            <w:vAlign w:val="center"/>
          </w:tcPr>
          <w:p>
            <w:r>
              <w:rPr>
                <w:rFonts w:ascii="Arial" w:hAnsi="Arial"/>
                <w:sz w:val="16"/>
              </w:rPr>
              <w:t>0.55</w:t>
            </w:r>
          </w:p>
        </w:tc>
        <w:tc>
          <w:tcPr>
            <w:tcW w:type="dxa" w:w="1728"/>
            <w:vAlign w:val="center"/>
          </w:tcPr>
          <w:p>
            <w:r>
              <w:rPr>
                <w:rFonts w:ascii="Arial" w:hAnsi="Arial"/>
                <w:sz w:val="16"/>
              </w:rPr>
              <w:t>+0.1902%</w:t>
            </w:r>
          </w:p>
        </w:tc>
        <w:tc>
          <w:tcPr>
            <w:tcW w:type="dxa" w:w="1440"/>
            <w:vAlign w:val="center"/>
          </w:tcPr>
          <w:p>
            <w:r>
              <w:rPr>
                <w:rFonts w:ascii="Arial" w:hAnsi="Arial"/>
                <w:sz w:val="16"/>
              </w:rPr>
              <w:t>3/5</w:t>
            </w:r>
          </w:p>
        </w:tc>
        <w:tc>
          <w:tcPr>
            <w:tcW w:type="dxa" w:w="1584"/>
            <w:vAlign w:val="center"/>
          </w:tcPr>
          <w:p>
            <w:r>
              <w:rPr>
                <w:rFonts w:ascii="Arial" w:hAnsi="Arial"/>
                <w:sz w:val="16"/>
              </w:rPr>
              <w:t>0.00</w:t>
            </w:r>
          </w:p>
        </w:tc>
      </w:tr>
      <w:tr>
        <w:tc>
          <w:tcPr>
            <w:tcW w:type="dxa" w:w="2592"/>
            <w:vAlign w:val="center"/>
          </w:tcPr>
          <w:p>
            <w:r>
              <w:rPr>
                <w:rFonts w:ascii="Arial" w:hAnsi="Arial"/>
                <w:sz w:val="16"/>
              </w:rPr>
              <w:t>Stocks</w:t>
            </w:r>
          </w:p>
        </w:tc>
        <w:tc>
          <w:tcPr>
            <w:tcW w:type="dxa" w:w="1584"/>
            <w:vAlign w:val="center"/>
          </w:tcPr>
          <w:p>
            <w:r>
              <w:rPr>
                <w:rFonts w:ascii="Arial" w:hAnsi="Arial"/>
                <w:sz w:val="16"/>
              </w:rPr>
              <w:t>0.30</w:t>
            </w:r>
          </w:p>
        </w:tc>
        <w:tc>
          <w:tcPr>
            <w:tcW w:type="dxa" w:w="1728"/>
            <w:vAlign w:val="center"/>
          </w:tcPr>
          <w:p>
            <w:r>
              <w:rPr>
                <w:rFonts w:ascii="Arial" w:hAnsi="Arial"/>
                <w:sz w:val="16"/>
              </w:rPr>
              <w:t>+0.0001%</w:t>
            </w:r>
          </w:p>
        </w:tc>
        <w:tc>
          <w:tcPr>
            <w:tcW w:type="dxa" w:w="1440"/>
            <w:vAlign w:val="center"/>
          </w:tcPr>
          <w:p>
            <w:r>
              <w:rPr>
                <w:rFonts w:ascii="Arial" w:hAnsi="Arial"/>
                <w:sz w:val="16"/>
              </w:rPr>
              <w:t>3/5</w:t>
            </w:r>
          </w:p>
        </w:tc>
        <w:tc>
          <w:tcPr>
            <w:tcW w:type="dxa" w:w="1584"/>
            <w:vAlign w:val="center"/>
          </w:tcPr>
          <w:p>
            <w:r>
              <w:rPr>
                <w:rFonts w:ascii="Arial" w:hAnsi="Arial"/>
                <w:sz w:val="16"/>
              </w:rPr>
              <w:t>0.00</w:t>
            </w:r>
          </w:p>
        </w:tc>
      </w:tr>
    </w:tbl>
    <w:p/>
    <w:p>
      <w:pPr>
        <w:spacing w:before="80" w:after="120"/>
        <w:ind w:left="288" w:right="288"/>
      </w:pPr>
      <w:r>
        <w:rPr>
          <w:i/>
          <w:sz w:val="18"/>
        </w:rPr>
        <w:t>R+A = 0.85 is not a subjective basketball correlation assumption. It is the only combination that cleared the conservative grouped-CV stability gate. PRA reverting to independence is compatible with R+A retaining dependence because the three-dimensional joint problem is noisier and the P-R / P-A relationships did not validate consistently.</w:t>
      </w:r>
    </w:p>
    <w:p>
      <w:pPr>
        <w:pStyle w:val="Heading2"/>
      </w:pPr>
      <w:r>
        <w:t>4.7 Probability calibration</w:t>
      </w:r>
    </w:p>
    <w:p>
      <w:r>
        <w:t>Raw model over probabilities were too extreme in the 2025 development market sample. Chronological Platt/logit calibration was fit with whole-calendar-date walk-forward splits: logit(p_cal) = a + b*logit(p_raw). The final policy selects raw or prop-specific calibration by prop using proper-scoring gates only; the market benchmark is reported but is not used to select the calibrator.</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888"/>
            <w:shd w:fill="D9EAF7"/>
            <w:vAlign w:val="center"/>
          </w:tcPr>
          <w:p>
            <w:pPr>
              <w:jc w:val="center"/>
            </w:pPr>
            <w:r>
              <w:rPr>
                <w:rFonts w:ascii="Arial" w:hAnsi="Arial"/>
                <w:b/>
                <w:sz w:val="17"/>
              </w:rPr>
              <w:t>Prop</w:t>
            </w:r>
          </w:p>
        </w:tc>
        <w:tc>
          <w:tcPr>
            <w:tcW w:type="dxa" w:w="2880"/>
            <w:shd w:fill="D9EAF7"/>
            <w:vAlign w:val="center"/>
          </w:tcPr>
          <w:p>
            <w:pPr>
              <w:jc w:val="center"/>
            </w:pPr>
            <w:r>
              <w:rPr>
                <w:rFonts w:ascii="Arial" w:hAnsi="Arial"/>
                <w:b/>
                <w:sz w:val="17"/>
              </w:rPr>
              <w:t>Frozen calibration method</w:t>
            </w:r>
          </w:p>
        </w:tc>
      </w:tr>
      <w:tr>
        <w:tc>
          <w:tcPr>
            <w:tcW w:type="dxa" w:w="3888"/>
            <w:vAlign w:val="center"/>
          </w:tcPr>
          <w:p>
            <w:r>
              <w:rPr>
                <w:rFonts w:ascii="Arial" w:hAnsi="Arial"/>
                <w:sz w:val="17"/>
              </w:rPr>
              <w:t>Assists</w:t>
            </w:r>
          </w:p>
        </w:tc>
        <w:tc>
          <w:tcPr>
            <w:tcW w:type="dxa" w:w="2880"/>
            <w:vAlign w:val="center"/>
          </w:tcPr>
          <w:p>
            <w:r>
              <w:rPr>
                <w:rFonts w:ascii="Arial" w:hAnsi="Arial"/>
                <w:sz w:val="17"/>
              </w:rPr>
              <w:t>Prop</w:t>
            </w:r>
          </w:p>
        </w:tc>
      </w:tr>
      <w:tr>
        <w:tc>
          <w:tcPr>
            <w:tcW w:type="dxa" w:w="3888"/>
            <w:vAlign w:val="center"/>
          </w:tcPr>
          <w:p>
            <w:r>
              <w:rPr>
                <w:rFonts w:ascii="Arial" w:hAnsi="Arial"/>
                <w:sz w:val="17"/>
              </w:rPr>
              <w:t>Blocks</w:t>
            </w:r>
          </w:p>
        </w:tc>
        <w:tc>
          <w:tcPr>
            <w:tcW w:type="dxa" w:w="2880"/>
            <w:vAlign w:val="center"/>
          </w:tcPr>
          <w:p>
            <w:r>
              <w:rPr>
                <w:rFonts w:ascii="Arial" w:hAnsi="Arial"/>
                <w:sz w:val="17"/>
              </w:rPr>
              <w:t>Raw</w:t>
            </w:r>
          </w:p>
        </w:tc>
      </w:tr>
      <w:tr>
        <w:tc>
          <w:tcPr>
            <w:tcW w:type="dxa" w:w="3888"/>
            <w:vAlign w:val="center"/>
          </w:tcPr>
          <w:p>
            <w:r>
              <w:rPr>
                <w:rFonts w:ascii="Arial" w:hAnsi="Arial"/>
                <w:sz w:val="17"/>
              </w:rPr>
              <w:t>Points</w:t>
            </w:r>
          </w:p>
        </w:tc>
        <w:tc>
          <w:tcPr>
            <w:tcW w:type="dxa" w:w="2880"/>
            <w:vAlign w:val="center"/>
          </w:tcPr>
          <w:p>
            <w:r>
              <w:rPr>
                <w:rFonts w:ascii="Arial" w:hAnsi="Arial"/>
                <w:sz w:val="17"/>
              </w:rPr>
              <w:t>Prop</w:t>
            </w:r>
          </w:p>
        </w:tc>
      </w:tr>
      <w:tr>
        <w:tc>
          <w:tcPr>
            <w:tcW w:type="dxa" w:w="3888"/>
            <w:vAlign w:val="center"/>
          </w:tcPr>
          <w:p>
            <w:r>
              <w:rPr>
                <w:rFonts w:ascii="Arial" w:hAnsi="Arial"/>
                <w:sz w:val="17"/>
              </w:rPr>
              <w:t>Points + Assists</w:t>
            </w:r>
          </w:p>
        </w:tc>
        <w:tc>
          <w:tcPr>
            <w:tcW w:type="dxa" w:w="2880"/>
            <w:vAlign w:val="center"/>
          </w:tcPr>
          <w:p>
            <w:r>
              <w:rPr>
                <w:rFonts w:ascii="Arial" w:hAnsi="Arial"/>
                <w:sz w:val="17"/>
              </w:rPr>
              <w:t>Prop</w:t>
            </w:r>
          </w:p>
        </w:tc>
      </w:tr>
      <w:tr>
        <w:tc>
          <w:tcPr>
            <w:tcW w:type="dxa" w:w="3888"/>
            <w:vAlign w:val="center"/>
          </w:tcPr>
          <w:p>
            <w:r>
              <w:rPr>
                <w:rFonts w:ascii="Arial" w:hAnsi="Arial"/>
                <w:sz w:val="17"/>
              </w:rPr>
              <w:t>Points + Rebounds</w:t>
            </w:r>
          </w:p>
        </w:tc>
        <w:tc>
          <w:tcPr>
            <w:tcW w:type="dxa" w:w="2880"/>
            <w:vAlign w:val="center"/>
          </w:tcPr>
          <w:p>
            <w:r>
              <w:rPr>
                <w:rFonts w:ascii="Arial" w:hAnsi="Arial"/>
                <w:sz w:val="17"/>
              </w:rPr>
              <w:t>Prop</w:t>
            </w:r>
          </w:p>
        </w:tc>
      </w:tr>
      <w:tr>
        <w:tc>
          <w:tcPr>
            <w:tcW w:type="dxa" w:w="3888"/>
            <w:vAlign w:val="center"/>
          </w:tcPr>
          <w:p>
            <w:r>
              <w:rPr>
                <w:rFonts w:ascii="Arial" w:hAnsi="Arial"/>
                <w:sz w:val="17"/>
              </w:rPr>
              <w:t>PRA</w:t>
            </w:r>
          </w:p>
        </w:tc>
        <w:tc>
          <w:tcPr>
            <w:tcW w:type="dxa" w:w="2880"/>
            <w:vAlign w:val="center"/>
          </w:tcPr>
          <w:p>
            <w:r>
              <w:rPr>
                <w:rFonts w:ascii="Arial" w:hAnsi="Arial"/>
                <w:sz w:val="17"/>
              </w:rPr>
              <w:t>Prop</w:t>
            </w:r>
          </w:p>
        </w:tc>
      </w:tr>
      <w:tr>
        <w:tc>
          <w:tcPr>
            <w:tcW w:type="dxa" w:w="3888"/>
            <w:vAlign w:val="center"/>
          </w:tcPr>
          <w:p>
            <w:r>
              <w:rPr>
                <w:rFonts w:ascii="Arial" w:hAnsi="Arial"/>
                <w:sz w:val="17"/>
              </w:rPr>
              <w:t>Rebounds</w:t>
            </w:r>
          </w:p>
        </w:tc>
        <w:tc>
          <w:tcPr>
            <w:tcW w:type="dxa" w:w="2880"/>
            <w:vAlign w:val="center"/>
          </w:tcPr>
          <w:p>
            <w:r>
              <w:rPr>
                <w:rFonts w:ascii="Arial" w:hAnsi="Arial"/>
                <w:sz w:val="17"/>
              </w:rPr>
              <w:t>Prop</w:t>
            </w:r>
          </w:p>
        </w:tc>
      </w:tr>
      <w:tr>
        <w:tc>
          <w:tcPr>
            <w:tcW w:type="dxa" w:w="3888"/>
            <w:vAlign w:val="center"/>
          </w:tcPr>
          <w:p>
            <w:r>
              <w:rPr>
                <w:rFonts w:ascii="Arial" w:hAnsi="Arial"/>
                <w:sz w:val="17"/>
              </w:rPr>
              <w:t>Rebounds + Assists</w:t>
            </w:r>
          </w:p>
        </w:tc>
        <w:tc>
          <w:tcPr>
            <w:tcW w:type="dxa" w:w="2880"/>
            <w:vAlign w:val="center"/>
          </w:tcPr>
          <w:p>
            <w:r>
              <w:rPr>
                <w:rFonts w:ascii="Arial" w:hAnsi="Arial"/>
                <w:sz w:val="17"/>
              </w:rPr>
              <w:t>Prop</w:t>
            </w:r>
          </w:p>
        </w:tc>
      </w:tr>
      <w:tr>
        <w:tc>
          <w:tcPr>
            <w:tcW w:type="dxa" w:w="3888"/>
            <w:vAlign w:val="center"/>
          </w:tcPr>
          <w:p>
            <w:r>
              <w:rPr>
                <w:rFonts w:ascii="Arial" w:hAnsi="Arial"/>
                <w:sz w:val="17"/>
              </w:rPr>
              <w:t>Steals</w:t>
            </w:r>
          </w:p>
        </w:tc>
        <w:tc>
          <w:tcPr>
            <w:tcW w:type="dxa" w:w="2880"/>
            <w:vAlign w:val="center"/>
          </w:tcPr>
          <w:p>
            <w:r>
              <w:rPr>
                <w:rFonts w:ascii="Arial" w:hAnsi="Arial"/>
                <w:sz w:val="17"/>
              </w:rPr>
              <w:t>Raw</w:t>
            </w:r>
          </w:p>
        </w:tc>
      </w:tr>
      <w:tr>
        <w:tc>
          <w:tcPr>
            <w:tcW w:type="dxa" w:w="3888"/>
            <w:vAlign w:val="center"/>
          </w:tcPr>
          <w:p>
            <w:r>
              <w:rPr>
                <w:rFonts w:ascii="Arial" w:hAnsi="Arial"/>
                <w:sz w:val="17"/>
              </w:rPr>
              <w:t>Threes</w:t>
            </w:r>
          </w:p>
        </w:tc>
        <w:tc>
          <w:tcPr>
            <w:tcW w:type="dxa" w:w="2880"/>
            <w:vAlign w:val="center"/>
          </w:tcPr>
          <w:p>
            <w:r>
              <w:rPr>
                <w:rFonts w:ascii="Arial" w:hAnsi="Arial"/>
                <w:sz w:val="17"/>
              </w:rPr>
              <w:t>Prop</w:t>
            </w:r>
          </w:p>
        </w:tc>
      </w:tr>
    </w:tbl>
    <w:p/>
    <w:p>
      <w:pPr>
        <w:pStyle w:val="Heading1"/>
      </w:pPr>
      <w:r>
        <w:t>5. Market-pricing logic</w:t>
      </w:r>
    </w:p>
    <w:p>
      <w:r>
        <w:t>For each supported live over/under quote, the production layer computes discrete over/under/push probabilities, converts over/under to conditional non-push probability when required, applies the frozen calibration policy, de-vigs the sportsbook pair, and reports fair American prices, calibrated model edge, and EV. Invalid lines/odds, excessive hold, unsupported props, and OUT players are rejected into an audit file.</w:t>
      </w:r>
    </w:p>
    <w:p>
      <w:pPr>
        <w:pStyle w:val="ListBullet"/>
        <w:spacing w:after="40"/>
      </w:pPr>
      <w:r>
        <w:t>Single-stat markets use exact marginal distribution pricing.</w:t>
      </w:r>
    </w:p>
    <w:p>
      <w:pPr>
        <w:pStyle w:val="ListBullet"/>
        <w:spacing w:after="40"/>
      </w:pPr>
      <w:r>
        <w:t>Combination markets with production lambda = 0 use exact independence convolution.</w:t>
      </w:r>
    </w:p>
    <w:p>
      <w:pPr>
        <w:pStyle w:val="ListBullet"/>
        <w:spacing w:after="40"/>
      </w:pPr>
      <w:r>
        <w:t>R+A uses the retained dependence setting lambda = 0.85.</w:t>
      </w:r>
    </w:p>
    <w:p>
      <w:pPr>
        <w:pStyle w:val="ListBullet"/>
        <w:spacing w:after="40"/>
      </w:pPr>
      <w:r>
        <w:t>Push mass is preserved; binary comparison uses q_over = p_over / (p_over + p_under).</w:t>
      </w:r>
    </w:p>
    <w:p>
      <w:pPr>
        <w:pStyle w:val="ListBullet"/>
        <w:spacing w:after="40"/>
      </w:pPr>
      <w:r>
        <w:t>No automatic betting threshold is enabled.</w:t>
      </w:r>
    </w:p>
    <w:p>
      <w:pPr>
        <w:pStyle w:val="Heading1"/>
      </w:pPr>
      <w:r>
        <w:t>6. Backtesting and development evidence</w:t>
      </w:r>
    </w:p>
    <w:p>
      <w:pPr>
        <w:pStyle w:val="Heading2"/>
      </w:pPr>
      <w:r>
        <w:t>6.1 2025 market sample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472"/>
            <w:shd w:fill="D9EAF7"/>
            <w:vAlign w:val="center"/>
          </w:tcPr>
          <w:p>
            <w:pPr>
              <w:jc w:val="center"/>
            </w:pPr>
            <w:r>
              <w:rPr>
                <w:rFonts w:ascii="Arial" w:hAnsi="Arial"/>
                <w:b/>
                <w:sz w:val="17"/>
              </w:rPr>
              <w:t>Development sample measure</w:t>
            </w:r>
          </w:p>
        </w:tc>
        <w:tc>
          <w:tcPr>
            <w:tcW w:type="dxa" w:w="2016"/>
            <w:shd w:fill="D9EAF7"/>
            <w:vAlign w:val="center"/>
          </w:tcPr>
          <w:p>
            <w:pPr>
              <w:jc w:val="center"/>
            </w:pPr>
            <w:r>
              <w:rPr>
                <w:rFonts w:ascii="Arial" w:hAnsi="Arial"/>
                <w:b/>
                <w:sz w:val="17"/>
              </w:rPr>
              <w:t>Count</w:t>
            </w:r>
          </w:p>
        </w:tc>
      </w:tr>
      <w:tr>
        <w:tc>
          <w:tcPr>
            <w:tcW w:type="dxa" w:w="5472"/>
            <w:vAlign w:val="center"/>
          </w:tcPr>
          <w:p>
            <w:r>
              <w:rPr>
                <w:rFonts w:ascii="Arial" w:hAnsi="Arial"/>
                <w:sz w:val="17"/>
              </w:rPr>
              <w:t>Opening-prop records</w:t>
            </w:r>
          </w:p>
        </w:tc>
        <w:tc>
          <w:tcPr>
            <w:tcW w:type="dxa" w:w="2016"/>
            <w:vAlign w:val="center"/>
          </w:tcPr>
          <w:p>
            <w:r>
              <w:rPr>
                <w:rFonts w:ascii="Arial" w:hAnsi="Arial"/>
                <w:sz w:val="17"/>
              </w:rPr>
              <w:t>356,618</w:t>
            </w:r>
          </w:p>
        </w:tc>
      </w:tr>
      <w:tr>
        <w:tc>
          <w:tcPr>
            <w:tcW w:type="dxa" w:w="5472"/>
            <w:vAlign w:val="center"/>
          </w:tcPr>
          <w:p>
            <w:r>
              <w:rPr>
                <w:rFonts w:ascii="Arial" w:hAnsi="Arial"/>
                <w:sz w:val="17"/>
              </w:rPr>
              <w:t>Over/under records</w:t>
            </w:r>
          </w:p>
        </w:tc>
        <w:tc>
          <w:tcPr>
            <w:tcW w:type="dxa" w:w="2016"/>
            <w:vAlign w:val="center"/>
          </w:tcPr>
          <w:p>
            <w:r>
              <w:rPr>
                <w:rFonts w:ascii="Arial" w:hAnsi="Arial"/>
                <w:sz w:val="17"/>
              </w:rPr>
              <w:t>154,736</w:t>
            </w:r>
          </w:p>
        </w:tc>
      </w:tr>
      <w:tr>
        <w:tc>
          <w:tcPr>
            <w:tcW w:type="dxa" w:w="5472"/>
            <w:vAlign w:val="center"/>
          </w:tcPr>
          <w:p>
            <w:r>
              <w:rPr>
                <w:rFonts w:ascii="Arial" w:hAnsi="Arial"/>
                <w:sz w:val="17"/>
              </w:rPr>
              <w:t>Opening-prop games</w:t>
            </w:r>
          </w:p>
        </w:tc>
        <w:tc>
          <w:tcPr>
            <w:tcW w:type="dxa" w:w="2016"/>
            <w:vAlign w:val="center"/>
          </w:tcPr>
          <w:p>
            <w:r>
              <w:rPr>
                <w:rFonts w:ascii="Arial" w:hAnsi="Arial"/>
                <w:sz w:val="17"/>
              </w:rPr>
              <w:t>381</w:t>
            </w:r>
          </w:p>
        </w:tc>
      </w:tr>
      <w:tr>
        <w:tc>
          <w:tcPr>
            <w:tcW w:type="dxa" w:w="5472"/>
            <w:vAlign w:val="center"/>
          </w:tcPr>
          <w:p>
            <w:r>
              <w:rPr>
                <w:rFonts w:ascii="Arial" w:hAnsi="Arial"/>
                <w:sz w:val="17"/>
              </w:rPr>
              <w:t>Eligible model-overlap quotes after quality filters</w:t>
            </w:r>
          </w:p>
        </w:tc>
        <w:tc>
          <w:tcPr>
            <w:tcW w:type="dxa" w:w="2016"/>
            <w:vAlign w:val="center"/>
          </w:tcPr>
          <w:p>
            <w:r>
              <w:rPr>
                <w:rFonts w:ascii="Arial" w:hAnsi="Arial"/>
                <w:sz w:val="17"/>
              </w:rPr>
              <w:t>145,083</w:t>
            </w:r>
          </w:p>
        </w:tc>
      </w:tr>
      <w:tr>
        <w:tc>
          <w:tcPr>
            <w:tcW w:type="dxa" w:w="5472"/>
            <w:vAlign w:val="center"/>
          </w:tcPr>
          <w:p>
            <w:r>
              <w:rPr>
                <w:rFonts w:ascii="Arial" w:hAnsi="Arial"/>
                <w:sz w:val="17"/>
              </w:rPr>
              <w:t>Strict-date OOF matched quote rows</w:t>
            </w:r>
          </w:p>
        </w:tc>
        <w:tc>
          <w:tcPr>
            <w:tcW w:type="dxa" w:w="2016"/>
            <w:vAlign w:val="center"/>
          </w:tcPr>
          <w:p>
            <w:r>
              <w:rPr>
                <w:rFonts w:ascii="Arial" w:hAnsi="Arial"/>
                <w:sz w:val="17"/>
              </w:rPr>
              <w:t>120,156</w:t>
            </w:r>
          </w:p>
        </w:tc>
      </w:tr>
      <w:tr>
        <w:tc>
          <w:tcPr>
            <w:tcW w:type="dxa" w:w="5472"/>
            <w:vAlign w:val="center"/>
          </w:tcPr>
          <w:p>
            <w:r>
              <w:rPr>
                <w:rFonts w:ascii="Arial" w:hAnsi="Arial"/>
                <w:sz w:val="17"/>
              </w:rPr>
              <w:t>Strict-date OOF contracts</w:t>
            </w:r>
          </w:p>
        </w:tc>
        <w:tc>
          <w:tcPr>
            <w:tcW w:type="dxa" w:w="2016"/>
            <w:vAlign w:val="center"/>
          </w:tcPr>
          <w:p>
            <w:r>
              <w:rPr>
                <w:rFonts w:ascii="Arial" w:hAnsi="Arial"/>
                <w:sz w:val="17"/>
              </w:rPr>
              <w:t>56,051</w:t>
            </w:r>
          </w:p>
        </w:tc>
      </w:tr>
      <w:tr>
        <w:tc>
          <w:tcPr>
            <w:tcW w:type="dxa" w:w="5472"/>
            <w:vAlign w:val="center"/>
          </w:tcPr>
          <w:p>
            <w:r>
              <w:rPr>
                <w:rFonts w:ascii="Arial" w:hAnsi="Arial"/>
                <w:sz w:val="17"/>
              </w:rPr>
              <w:t>Strict-date OOF events</w:t>
            </w:r>
          </w:p>
        </w:tc>
        <w:tc>
          <w:tcPr>
            <w:tcW w:type="dxa" w:w="2016"/>
            <w:vAlign w:val="center"/>
          </w:tcPr>
          <w:p>
            <w:r>
              <w:rPr>
                <w:rFonts w:ascii="Arial" w:hAnsi="Arial"/>
                <w:sz w:val="17"/>
              </w:rPr>
              <w:t>40,989</w:t>
            </w:r>
          </w:p>
        </w:tc>
      </w:tr>
      <w:tr>
        <w:tc>
          <w:tcPr>
            <w:tcW w:type="dxa" w:w="5472"/>
            <w:vAlign w:val="center"/>
          </w:tcPr>
          <w:p>
            <w:r>
              <w:rPr>
                <w:rFonts w:ascii="Arial" w:hAnsi="Arial"/>
                <w:sz w:val="17"/>
              </w:rPr>
              <w:t>Strict-date OOF games</w:t>
            </w:r>
          </w:p>
        </w:tc>
        <w:tc>
          <w:tcPr>
            <w:tcW w:type="dxa" w:w="2016"/>
            <w:vAlign w:val="center"/>
          </w:tcPr>
          <w:p>
            <w:r>
              <w:rPr>
                <w:rFonts w:ascii="Arial" w:hAnsi="Arial"/>
                <w:sz w:val="17"/>
              </w:rPr>
              <w:t>297</w:t>
            </w:r>
          </w:p>
        </w:tc>
      </w:tr>
    </w:tbl>
    <w:p/>
    <w:p>
      <w:r>
        <w:t>The historical opening-prop archive is coverage-limited and concentrated in the latter portion of the 2025 season. Accordingly, all market results below are development evidence rather than a pristine external test.</w:t>
      </w:r>
    </w:p>
    <w:p>
      <w:pPr>
        <w:pStyle w:val="Heading2"/>
      </w:pPr>
      <w:r>
        <w:t>6.2 Raw model versus market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448"/>
            <w:shd w:fill="D9EAF7"/>
            <w:vAlign w:val="center"/>
          </w:tcPr>
          <w:p>
            <w:pPr>
              <w:jc w:val="center"/>
            </w:pPr>
            <w:r>
              <w:rPr>
                <w:rFonts w:ascii="Arial" w:hAnsi="Arial"/>
                <w:b/>
                <w:sz w:val="17"/>
              </w:rPr>
              <w:t>Metric</w:t>
            </w:r>
          </w:p>
        </w:tc>
        <w:tc>
          <w:tcPr>
            <w:tcW w:type="dxa" w:w="2160"/>
            <w:shd w:fill="D9EAF7"/>
            <w:vAlign w:val="center"/>
          </w:tcPr>
          <w:p>
            <w:pPr>
              <w:jc w:val="center"/>
            </w:pPr>
            <w:r>
              <w:rPr>
                <w:rFonts w:ascii="Arial" w:hAnsi="Arial"/>
                <w:b/>
                <w:sz w:val="17"/>
              </w:rPr>
              <w:t>Raw model</w:t>
            </w:r>
          </w:p>
        </w:tc>
        <w:tc>
          <w:tcPr>
            <w:tcW w:type="dxa" w:w="2160"/>
            <w:shd w:fill="D9EAF7"/>
            <w:vAlign w:val="center"/>
          </w:tcPr>
          <w:p>
            <w:pPr>
              <w:jc w:val="center"/>
            </w:pPr>
            <w:r>
              <w:rPr>
                <w:rFonts w:ascii="Arial" w:hAnsi="Arial"/>
                <w:b/>
                <w:sz w:val="17"/>
              </w:rPr>
              <w:t>Market</w:t>
            </w:r>
          </w:p>
        </w:tc>
      </w:tr>
      <w:tr>
        <w:tc>
          <w:tcPr>
            <w:tcW w:type="dxa" w:w="2448"/>
            <w:vAlign w:val="center"/>
          </w:tcPr>
          <w:p>
            <w:r>
              <w:rPr>
                <w:rFonts w:ascii="Arial" w:hAnsi="Arial"/>
                <w:sz w:val="17"/>
              </w:rPr>
              <w:t>Brier score</w:t>
            </w:r>
          </w:p>
        </w:tc>
        <w:tc>
          <w:tcPr>
            <w:tcW w:type="dxa" w:w="2160"/>
            <w:vAlign w:val="center"/>
          </w:tcPr>
          <w:p>
            <w:r>
              <w:rPr>
                <w:rFonts w:ascii="Arial" w:hAnsi="Arial"/>
                <w:sz w:val="17"/>
              </w:rPr>
              <w:t>0.247385</w:t>
            </w:r>
          </w:p>
        </w:tc>
        <w:tc>
          <w:tcPr>
            <w:tcW w:type="dxa" w:w="2160"/>
            <w:vAlign w:val="center"/>
          </w:tcPr>
          <w:p>
            <w:r>
              <w:rPr>
                <w:rFonts w:ascii="Arial" w:hAnsi="Arial"/>
                <w:sz w:val="17"/>
              </w:rPr>
              <w:t>0.241520</w:t>
            </w:r>
          </w:p>
        </w:tc>
      </w:tr>
      <w:tr>
        <w:tc>
          <w:tcPr>
            <w:tcW w:type="dxa" w:w="2448"/>
            <w:vAlign w:val="center"/>
          </w:tcPr>
          <w:p>
            <w:r>
              <w:rPr>
                <w:rFonts w:ascii="Arial" w:hAnsi="Arial"/>
                <w:sz w:val="17"/>
              </w:rPr>
              <w:t>Log loss</w:t>
            </w:r>
          </w:p>
        </w:tc>
        <w:tc>
          <w:tcPr>
            <w:tcW w:type="dxa" w:w="2160"/>
            <w:vAlign w:val="center"/>
          </w:tcPr>
          <w:p>
            <w:r>
              <w:rPr>
                <w:rFonts w:ascii="Arial" w:hAnsi="Arial"/>
                <w:sz w:val="17"/>
              </w:rPr>
              <w:t>0.690464</w:t>
            </w:r>
          </w:p>
        </w:tc>
        <w:tc>
          <w:tcPr>
            <w:tcW w:type="dxa" w:w="2160"/>
            <w:vAlign w:val="center"/>
          </w:tcPr>
          <w:p>
            <w:r>
              <w:rPr>
                <w:rFonts w:ascii="Arial" w:hAnsi="Arial"/>
                <w:sz w:val="17"/>
              </w:rPr>
              <w:t>0.675353</w:t>
            </w:r>
          </w:p>
        </w:tc>
      </w:tr>
      <w:tr>
        <w:tc>
          <w:tcPr>
            <w:tcW w:type="dxa" w:w="2448"/>
            <w:vAlign w:val="center"/>
          </w:tcPr>
          <w:p>
            <w:r>
              <w:rPr>
                <w:rFonts w:ascii="Arial" w:hAnsi="Arial"/>
                <w:sz w:val="17"/>
              </w:rPr>
              <w:t>10-bin ECE</w:t>
            </w:r>
          </w:p>
        </w:tc>
        <w:tc>
          <w:tcPr>
            <w:tcW w:type="dxa" w:w="2160"/>
            <w:vAlign w:val="center"/>
          </w:tcPr>
          <w:p>
            <w:r>
              <w:rPr>
                <w:rFonts w:ascii="Arial" w:hAnsi="Arial"/>
                <w:sz w:val="17"/>
              </w:rPr>
              <w:t>0.0502</w:t>
            </w:r>
          </w:p>
        </w:tc>
        <w:tc>
          <w:tcPr>
            <w:tcW w:type="dxa" w:w="2160"/>
            <w:vAlign w:val="center"/>
          </w:tcPr>
          <w:p>
            <w:r>
              <w:rPr>
                <w:rFonts w:ascii="Arial" w:hAnsi="Arial"/>
                <w:sz w:val="17"/>
              </w:rPr>
              <w:t>0.0183</w:t>
            </w:r>
          </w:p>
        </w:tc>
      </w:tr>
    </w:tbl>
    <w:p/>
    <w:p>
      <w:r>
        <w:t>The raw model was overconfident overall. That finding led to the strict-date calibration layer rather than to threshold tuning.</w:t>
      </w:r>
    </w:p>
    <w:p>
      <w:pPr>
        <w:pStyle w:val="Heading2"/>
      </w:pPr>
      <w:r>
        <w:t>6.3 Selected calibrated model versus market</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rPr>
          <w:tblHeader w:val="true"/>
        </w:trPr>
        <w:tc>
          <w:tcPr>
            <w:tcW w:type="dxa" w:w="1440"/>
            <w:shd w:fill="D9EAF7"/>
            <w:vAlign w:val="center"/>
          </w:tcPr>
          <w:p>
            <w:pPr>
              <w:jc w:val="center"/>
            </w:pPr>
            <w:r>
              <w:rPr>
                <w:rFonts w:ascii="Arial" w:hAnsi="Arial"/>
                <w:b/>
                <w:sz w:val="14"/>
              </w:rPr>
              <w:t>Prop</w:t>
            </w:r>
          </w:p>
        </w:tc>
        <w:tc>
          <w:tcPr>
            <w:tcW w:type="dxa" w:w="1008"/>
            <w:shd w:fill="D9EAF7"/>
            <w:vAlign w:val="center"/>
          </w:tcPr>
          <w:p>
            <w:pPr>
              <w:jc w:val="center"/>
            </w:pPr>
            <w:r>
              <w:rPr>
                <w:rFonts w:ascii="Arial" w:hAnsi="Arial"/>
                <w:b/>
                <w:sz w:val="14"/>
              </w:rPr>
              <w:t>Events</w:t>
            </w:r>
          </w:p>
        </w:tc>
        <w:tc>
          <w:tcPr>
            <w:tcW w:type="dxa" w:w="1224"/>
            <w:shd w:fill="D9EAF7"/>
            <w:vAlign w:val="center"/>
          </w:tcPr>
          <w:p>
            <w:pPr>
              <w:jc w:val="center"/>
            </w:pPr>
            <w:r>
              <w:rPr>
                <w:rFonts w:ascii="Arial" w:hAnsi="Arial"/>
                <w:b/>
                <w:sz w:val="14"/>
              </w:rPr>
              <w:t>Brier raw</w:t>
            </w:r>
          </w:p>
        </w:tc>
        <w:tc>
          <w:tcPr>
            <w:tcW w:type="dxa" w:w="1224"/>
            <w:shd w:fill="D9EAF7"/>
            <w:vAlign w:val="center"/>
          </w:tcPr>
          <w:p>
            <w:pPr>
              <w:jc w:val="center"/>
            </w:pPr>
            <w:r>
              <w:rPr>
                <w:rFonts w:ascii="Arial" w:hAnsi="Arial"/>
                <w:b/>
                <w:sz w:val="14"/>
              </w:rPr>
              <w:t>Brier sel.</w:t>
            </w:r>
          </w:p>
        </w:tc>
        <w:tc>
          <w:tcPr>
            <w:tcW w:type="dxa" w:w="1224"/>
            <w:shd w:fill="D9EAF7"/>
            <w:vAlign w:val="center"/>
          </w:tcPr>
          <w:p>
            <w:pPr>
              <w:jc w:val="center"/>
            </w:pPr>
            <w:r>
              <w:rPr>
                <w:rFonts w:ascii="Arial" w:hAnsi="Arial"/>
                <w:b/>
                <w:sz w:val="14"/>
              </w:rPr>
              <w:t>Brier mkt.</w:t>
            </w:r>
          </w:p>
        </w:tc>
        <w:tc>
          <w:tcPr>
            <w:tcW w:type="dxa" w:w="1224"/>
            <w:shd w:fill="D9EAF7"/>
            <w:vAlign w:val="center"/>
          </w:tcPr>
          <w:p>
            <w:pPr>
              <w:jc w:val="center"/>
            </w:pPr>
            <w:r>
              <w:rPr>
                <w:rFonts w:ascii="Arial" w:hAnsi="Arial"/>
                <w:b/>
                <w:sz w:val="14"/>
              </w:rPr>
              <w:t>LL raw</w:t>
            </w:r>
          </w:p>
        </w:tc>
        <w:tc>
          <w:tcPr>
            <w:tcW w:type="dxa" w:w="1224"/>
            <w:shd w:fill="D9EAF7"/>
            <w:vAlign w:val="center"/>
          </w:tcPr>
          <w:p>
            <w:pPr>
              <w:jc w:val="center"/>
            </w:pPr>
            <w:r>
              <w:rPr>
                <w:rFonts w:ascii="Arial" w:hAnsi="Arial"/>
                <w:b/>
                <w:sz w:val="14"/>
              </w:rPr>
              <w:t>LL sel.</w:t>
            </w:r>
          </w:p>
        </w:tc>
        <w:tc>
          <w:tcPr>
            <w:tcW w:type="dxa" w:w="1224"/>
            <w:shd w:fill="D9EAF7"/>
            <w:vAlign w:val="center"/>
          </w:tcPr>
          <w:p>
            <w:pPr>
              <w:jc w:val="center"/>
            </w:pPr>
            <w:r>
              <w:rPr>
                <w:rFonts w:ascii="Arial" w:hAnsi="Arial"/>
                <w:b/>
                <w:sz w:val="14"/>
              </w:rPr>
              <w:t>LL mkt.</w:t>
            </w:r>
          </w:p>
        </w:tc>
      </w:tr>
      <w:tr>
        <w:tc>
          <w:tcPr>
            <w:tcW w:type="dxa" w:w="1440"/>
            <w:vAlign w:val="center"/>
          </w:tcPr>
          <w:p>
            <w:r>
              <w:rPr>
                <w:rFonts w:ascii="Arial" w:hAnsi="Arial"/>
                <w:sz w:val="14"/>
              </w:rPr>
              <w:t>ALL</w:t>
            </w:r>
          </w:p>
        </w:tc>
        <w:tc>
          <w:tcPr>
            <w:tcW w:type="dxa" w:w="1008"/>
            <w:vAlign w:val="center"/>
          </w:tcPr>
          <w:p>
            <w:r>
              <w:rPr>
                <w:rFonts w:ascii="Arial" w:hAnsi="Arial"/>
                <w:sz w:val="14"/>
              </w:rPr>
              <w:t>40,989</w:t>
            </w:r>
          </w:p>
        </w:tc>
        <w:tc>
          <w:tcPr>
            <w:tcW w:type="dxa" w:w="1224"/>
            <w:vAlign w:val="center"/>
          </w:tcPr>
          <w:p>
            <w:r>
              <w:rPr>
                <w:rFonts w:ascii="Arial" w:hAnsi="Arial"/>
                <w:sz w:val="14"/>
              </w:rPr>
              <w:t>0.247862</w:t>
            </w:r>
          </w:p>
        </w:tc>
        <w:tc>
          <w:tcPr>
            <w:tcW w:type="dxa" w:w="1224"/>
            <w:vAlign w:val="center"/>
          </w:tcPr>
          <w:p>
            <w:r>
              <w:rPr>
                <w:rFonts w:ascii="Arial" w:hAnsi="Arial"/>
                <w:sz w:val="14"/>
              </w:rPr>
              <w:t>0.242027</w:t>
            </w:r>
          </w:p>
        </w:tc>
        <w:tc>
          <w:tcPr>
            <w:tcW w:type="dxa" w:w="1224"/>
            <w:vAlign w:val="center"/>
          </w:tcPr>
          <w:p>
            <w:r>
              <w:rPr>
                <w:rFonts w:ascii="Arial" w:hAnsi="Arial"/>
                <w:sz w:val="14"/>
              </w:rPr>
              <w:t>0.241515</w:t>
            </w:r>
          </w:p>
        </w:tc>
        <w:tc>
          <w:tcPr>
            <w:tcW w:type="dxa" w:w="1224"/>
            <w:vAlign w:val="center"/>
          </w:tcPr>
          <w:p>
            <w:r>
              <w:rPr>
                <w:rFonts w:ascii="Arial" w:hAnsi="Arial"/>
                <w:sz w:val="14"/>
              </w:rPr>
              <w:t>0.691239</w:t>
            </w:r>
          </w:p>
        </w:tc>
        <w:tc>
          <w:tcPr>
            <w:tcW w:type="dxa" w:w="1224"/>
            <w:vAlign w:val="center"/>
          </w:tcPr>
          <w:p>
            <w:r>
              <w:rPr>
                <w:rFonts w:ascii="Arial" w:hAnsi="Arial"/>
                <w:sz w:val="14"/>
              </w:rPr>
              <w:t>0.676379</w:t>
            </w:r>
          </w:p>
        </w:tc>
        <w:tc>
          <w:tcPr>
            <w:tcW w:type="dxa" w:w="1224"/>
            <w:vAlign w:val="center"/>
          </w:tcPr>
          <w:p>
            <w:r>
              <w:rPr>
                <w:rFonts w:ascii="Arial" w:hAnsi="Arial"/>
                <w:sz w:val="14"/>
              </w:rPr>
              <w:t>0.675306</w:t>
            </w:r>
          </w:p>
        </w:tc>
      </w:tr>
      <w:tr>
        <w:tc>
          <w:tcPr>
            <w:tcW w:type="dxa" w:w="1440"/>
            <w:vAlign w:val="center"/>
          </w:tcPr>
          <w:p>
            <w:r>
              <w:rPr>
                <w:rFonts w:ascii="Arial" w:hAnsi="Arial"/>
                <w:sz w:val="14"/>
              </w:rPr>
              <w:t>Assists</w:t>
            </w:r>
          </w:p>
        </w:tc>
        <w:tc>
          <w:tcPr>
            <w:tcW w:type="dxa" w:w="1008"/>
            <w:vAlign w:val="center"/>
          </w:tcPr>
          <w:p>
            <w:r>
              <w:rPr>
                <w:rFonts w:ascii="Arial" w:hAnsi="Arial"/>
                <w:sz w:val="14"/>
              </w:rPr>
              <w:t>3,812</w:t>
            </w:r>
          </w:p>
        </w:tc>
        <w:tc>
          <w:tcPr>
            <w:tcW w:type="dxa" w:w="1224"/>
            <w:vAlign w:val="center"/>
          </w:tcPr>
          <w:p>
            <w:r>
              <w:rPr>
                <w:rFonts w:ascii="Arial" w:hAnsi="Arial"/>
                <w:sz w:val="14"/>
              </w:rPr>
              <w:t>0.251298</w:t>
            </w:r>
          </w:p>
        </w:tc>
        <w:tc>
          <w:tcPr>
            <w:tcW w:type="dxa" w:w="1224"/>
            <w:vAlign w:val="center"/>
          </w:tcPr>
          <w:p>
            <w:r>
              <w:rPr>
                <w:rFonts w:ascii="Arial" w:hAnsi="Arial"/>
                <w:sz w:val="14"/>
              </w:rPr>
              <w:t>0.246724</w:t>
            </w:r>
          </w:p>
        </w:tc>
        <w:tc>
          <w:tcPr>
            <w:tcW w:type="dxa" w:w="1224"/>
            <w:vAlign w:val="center"/>
          </w:tcPr>
          <w:p>
            <w:r>
              <w:rPr>
                <w:rFonts w:ascii="Arial" w:hAnsi="Arial"/>
                <w:sz w:val="14"/>
              </w:rPr>
              <w:t>0.243107</w:t>
            </w:r>
          </w:p>
        </w:tc>
        <w:tc>
          <w:tcPr>
            <w:tcW w:type="dxa" w:w="1224"/>
            <w:vAlign w:val="center"/>
          </w:tcPr>
          <w:p>
            <w:r>
              <w:rPr>
                <w:rFonts w:ascii="Arial" w:hAnsi="Arial"/>
                <w:sz w:val="14"/>
              </w:rPr>
              <w:t>0.699520</w:t>
            </w:r>
          </w:p>
        </w:tc>
        <w:tc>
          <w:tcPr>
            <w:tcW w:type="dxa" w:w="1224"/>
            <w:vAlign w:val="center"/>
          </w:tcPr>
          <w:p>
            <w:r>
              <w:rPr>
                <w:rFonts w:ascii="Arial" w:hAnsi="Arial"/>
                <w:sz w:val="14"/>
              </w:rPr>
              <w:t>0.686669</w:t>
            </w:r>
          </w:p>
        </w:tc>
        <w:tc>
          <w:tcPr>
            <w:tcW w:type="dxa" w:w="1224"/>
            <w:vAlign w:val="center"/>
          </w:tcPr>
          <w:p>
            <w:r>
              <w:rPr>
                <w:rFonts w:ascii="Arial" w:hAnsi="Arial"/>
                <w:sz w:val="14"/>
              </w:rPr>
              <w:t>0.679239</w:t>
            </w:r>
          </w:p>
        </w:tc>
      </w:tr>
      <w:tr>
        <w:tc>
          <w:tcPr>
            <w:tcW w:type="dxa" w:w="1440"/>
            <w:vAlign w:val="center"/>
          </w:tcPr>
          <w:p>
            <w:r>
              <w:rPr>
                <w:rFonts w:ascii="Arial" w:hAnsi="Arial"/>
                <w:sz w:val="14"/>
              </w:rPr>
              <w:t>Blocks</w:t>
            </w:r>
          </w:p>
        </w:tc>
        <w:tc>
          <w:tcPr>
            <w:tcW w:type="dxa" w:w="1008"/>
            <w:vAlign w:val="center"/>
          </w:tcPr>
          <w:p>
            <w:r>
              <w:rPr>
                <w:rFonts w:ascii="Arial" w:hAnsi="Arial"/>
                <w:sz w:val="14"/>
              </w:rPr>
              <w:t>4,344</w:t>
            </w:r>
          </w:p>
        </w:tc>
        <w:tc>
          <w:tcPr>
            <w:tcW w:type="dxa" w:w="1224"/>
            <w:vAlign w:val="center"/>
          </w:tcPr>
          <w:p>
            <w:r>
              <w:rPr>
                <w:rFonts w:ascii="Arial" w:hAnsi="Arial"/>
                <w:sz w:val="14"/>
              </w:rPr>
              <w:t>0.202445</w:t>
            </w:r>
          </w:p>
        </w:tc>
        <w:tc>
          <w:tcPr>
            <w:tcW w:type="dxa" w:w="1224"/>
            <w:vAlign w:val="center"/>
          </w:tcPr>
          <w:p>
            <w:r>
              <w:rPr>
                <w:rFonts w:ascii="Arial" w:hAnsi="Arial"/>
                <w:sz w:val="14"/>
              </w:rPr>
              <w:t>0.202445</w:t>
            </w:r>
          </w:p>
        </w:tc>
        <w:tc>
          <w:tcPr>
            <w:tcW w:type="dxa" w:w="1224"/>
            <w:vAlign w:val="center"/>
          </w:tcPr>
          <w:p>
            <w:r>
              <w:rPr>
                <w:rFonts w:ascii="Arial" w:hAnsi="Arial"/>
                <w:sz w:val="14"/>
              </w:rPr>
              <w:t>0.201745</w:t>
            </w:r>
          </w:p>
        </w:tc>
        <w:tc>
          <w:tcPr>
            <w:tcW w:type="dxa" w:w="1224"/>
            <w:vAlign w:val="center"/>
          </w:tcPr>
          <w:p>
            <w:r>
              <w:rPr>
                <w:rFonts w:ascii="Arial" w:hAnsi="Arial"/>
                <w:sz w:val="14"/>
              </w:rPr>
              <w:t>0.590845</w:t>
            </w:r>
          </w:p>
        </w:tc>
        <w:tc>
          <w:tcPr>
            <w:tcW w:type="dxa" w:w="1224"/>
            <w:vAlign w:val="center"/>
          </w:tcPr>
          <w:p>
            <w:r>
              <w:rPr>
                <w:rFonts w:ascii="Arial" w:hAnsi="Arial"/>
                <w:sz w:val="14"/>
              </w:rPr>
              <w:t>0.590845</w:t>
            </w:r>
          </w:p>
        </w:tc>
        <w:tc>
          <w:tcPr>
            <w:tcW w:type="dxa" w:w="1224"/>
            <w:vAlign w:val="center"/>
          </w:tcPr>
          <w:p>
            <w:r>
              <w:rPr>
                <w:rFonts w:ascii="Arial" w:hAnsi="Arial"/>
                <w:sz w:val="14"/>
              </w:rPr>
              <w:t>0.589733</w:t>
            </w:r>
          </w:p>
        </w:tc>
      </w:tr>
      <w:tr>
        <w:tc>
          <w:tcPr>
            <w:tcW w:type="dxa" w:w="1440"/>
            <w:vAlign w:val="center"/>
          </w:tcPr>
          <w:p>
            <w:r>
              <w:rPr>
                <w:rFonts w:ascii="Arial" w:hAnsi="Arial"/>
                <w:sz w:val="14"/>
              </w:rPr>
              <w:t>Points</w:t>
            </w:r>
          </w:p>
        </w:tc>
        <w:tc>
          <w:tcPr>
            <w:tcW w:type="dxa" w:w="1008"/>
            <w:vAlign w:val="center"/>
          </w:tcPr>
          <w:p>
            <w:r>
              <w:rPr>
                <w:rFonts w:ascii="Arial" w:hAnsi="Arial"/>
                <w:sz w:val="14"/>
              </w:rPr>
              <w:t>4,622</w:t>
            </w:r>
          </w:p>
        </w:tc>
        <w:tc>
          <w:tcPr>
            <w:tcW w:type="dxa" w:w="1224"/>
            <w:vAlign w:val="center"/>
          </w:tcPr>
          <w:p>
            <w:r>
              <w:rPr>
                <w:rFonts w:ascii="Arial" w:hAnsi="Arial"/>
                <w:sz w:val="14"/>
              </w:rPr>
              <w:t>0.259392</w:t>
            </w:r>
          </w:p>
        </w:tc>
        <w:tc>
          <w:tcPr>
            <w:tcW w:type="dxa" w:w="1224"/>
            <w:vAlign w:val="center"/>
          </w:tcPr>
          <w:p>
            <w:r>
              <w:rPr>
                <w:rFonts w:ascii="Arial" w:hAnsi="Arial"/>
                <w:sz w:val="14"/>
              </w:rPr>
              <w:t>0.250165</w:t>
            </w:r>
          </w:p>
        </w:tc>
        <w:tc>
          <w:tcPr>
            <w:tcW w:type="dxa" w:w="1224"/>
            <w:vAlign w:val="center"/>
          </w:tcPr>
          <w:p>
            <w:r>
              <w:rPr>
                <w:rFonts w:ascii="Arial" w:hAnsi="Arial"/>
                <w:sz w:val="14"/>
              </w:rPr>
              <w:t>0.249347</w:t>
            </w:r>
          </w:p>
        </w:tc>
        <w:tc>
          <w:tcPr>
            <w:tcW w:type="dxa" w:w="1224"/>
            <w:vAlign w:val="center"/>
          </w:tcPr>
          <w:p>
            <w:r>
              <w:rPr>
                <w:rFonts w:ascii="Arial" w:hAnsi="Arial"/>
                <w:sz w:val="14"/>
              </w:rPr>
              <w:t>0.715076</w:t>
            </w:r>
          </w:p>
        </w:tc>
        <w:tc>
          <w:tcPr>
            <w:tcW w:type="dxa" w:w="1224"/>
            <w:vAlign w:val="center"/>
          </w:tcPr>
          <w:p>
            <w:r>
              <w:rPr>
                <w:rFonts w:ascii="Arial" w:hAnsi="Arial"/>
                <w:sz w:val="14"/>
              </w:rPr>
              <w:t>0.693490</w:t>
            </w:r>
          </w:p>
        </w:tc>
        <w:tc>
          <w:tcPr>
            <w:tcW w:type="dxa" w:w="1224"/>
            <w:vAlign w:val="center"/>
          </w:tcPr>
          <w:p>
            <w:r>
              <w:rPr>
                <w:rFonts w:ascii="Arial" w:hAnsi="Arial"/>
                <w:sz w:val="14"/>
              </w:rPr>
              <w:t>0.691836</w:t>
            </w:r>
          </w:p>
        </w:tc>
      </w:tr>
      <w:tr>
        <w:tc>
          <w:tcPr>
            <w:tcW w:type="dxa" w:w="1440"/>
            <w:vAlign w:val="center"/>
          </w:tcPr>
          <w:p>
            <w:r>
              <w:rPr>
                <w:rFonts w:ascii="Arial" w:hAnsi="Arial"/>
                <w:sz w:val="14"/>
              </w:rPr>
              <w:t>P+A</w:t>
            </w:r>
          </w:p>
        </w:tc>
        <w:tc>
          <w:tcPr>
            <w:tcW w:type="dxa" w:w="1008"/>
            <w:vAlign w:val="center"/>
          </w:tcPr>
          <w:p>
            <w:r>
              <w:rPr>
                <w:rFonts w:ascii="Arial" w:hAnsi="Arial"/>
                <w:sz w:val="14"/>
              </w:rPr>
              <w:t>3,544</w:t>
            </w:r>
          </w:p>
        </w:tc>
        <w:tc>
          <w:tcPr>
            <w:tcW w:type="dxa" w:w="1224"/>
            <w:vAlign w:val="center"/>
          </w:tcPr>
          <w:p>
            <w:r>
              <w:rPr>
                <w:rFonts w:ascii="Arial" w:hAnsi="Arial"/>
                <w:sz w:val="14"/>
              </w:rPr>
              <w:t>0.260466</w:t>
            </w:r>
          </w:p>
        </w:tc>
        <w:tc>
          <w:tcPr>
            <w:tcW w:type="dxa" w:w="1224"/>
            <w:vAlign w:val="center"/>
          </w:tcPr>
          <w:p>
            <w:r>
              <w:rPr>
                <w:rFonts w:ascii="Arial" w:hAnsi="Arial"/>
                <w:sz w:val="14"/>
              </w:rPr>
              <w:t>0.250084</w:t>
            </w:r>
          </w:p>
        </w:tc>
        <w:tc>
          <w:tcPr>
            <w:tcW w:type="dxa" w:w="1224"/>
            <w:vAlign w:val="center"/>
          </w:tcPr>
          <w:p>
            <w:r>
              <w:rPr>
                <w:rFonts w:ascii="Arial" w:hAnsi="Arial"/>
                <w:sz w:val="14"/>
              </w:rPr>
              <w:t>0.250103</w:t>
            </w:r>
          </w:p>
        </w:tc>
        <w:tc>
          <w:tcPr>
            <w:tcW w:type="dxa" w:w="1224"/>
            <w:vAlign w:val="center"/>
          </w:tcPr>
          <w:p>
            <w:r>
              <w:rPr>
                <w:rFonts w:ascii="Arial" w:hAnsi="Arial"/>
                <w:sz w:val="14"/>
              </w:rPr>
              <w:t>0.719606</w:t>
            </w:r>
          </w:p>
        </w:tc>
        <w:tc>
          <w:tcPr>
            <w:tcW w:type="dxa" w:w="1224"/>
            <w:vAlign w:val="center"/>
          </w:tcPr>
          <w:p>
            <w:r>
              <w:rPr>
                <w:rFonts w:ascii="Arial" w:hAnsi="Arial"/>
                <w:sz w:val="14"/>
              </w:rPr>
              <w:t>0.693330</w:t>
            </w:r>
          </w:p>
        </w:tc>
        <w:tc>
          <w:tcPr>
            <w:tcW w:type="dxa" w:w="1224"/>
            <w:vAlign w:val="center"/>
          </w:tcPr>
          <w:p>
            <w:r>
              <w:rPr>
                <w:rFonts w:ascii="Arial" w:hAnsi="Arial"/>
                <w:sz w:val="14"/>
              </w:rPr>
              <w:t>0.693355</w:t>
            </w:r>
          </w:p>
        </w:tc>
      </w:tr>
      <w:tr>
        <w:tc>
          <w:tcPr>
            <w:tcW w:type="dxa" w:w="1440"/>
            <w:vAlign w:val="center"/>
          </w:tcPr>
          <w:p>
            <w:r>
              <w:rPr>
                <w:rFonts w:ascii="Arial" w:hAnsi="Arial"/>
                <w:sz w:val="14"/>
              </w:rPr>
              <w:t>P+R</w:t>
            </w:r>
          </w:p>
        </w:tc>
        <w:tc>
          <w:tcPr>
            <w:tcW w:type="dxa" w:w="1008"/>
            <w:vAlign w:val="center"/>
          </w:tcPr>
          <w:p>
            <w:r>
              <w:rPr>
                <w:rFonts w:ascii="Arial" w:hAnsi="Arial"/>
                <w:sz w:val="14"/>
              </w:rPr>
              <w:t>4,162</w:t>
            </w:r>
          </w:p>
        </w:tc>
        <w:tc>
          <w:tcPr>
            <w:tcW w:type="dxa" w:w="1224"/>
            <w:vAlign w:val="center"/>
          </w:tcPr>
          <w:p>
            <w:r>
              <w:rPr>
                <w:rFonts w:ascii="Arial" w:hAnsi="Arial"/>
                <w:sz w:val="14"/>
              </w:rPr>
              <w:t>0.260046</w:t>
            </w:r>
          </w:p>
        </w:tc>
        <w:tc>
          <w:tcPr>
            <w:tcW w:type="dxa" w:w="1224"/>
            <w:vAlign w:val="center"/>
          </w:tcPr>
          <w:p>
            <w:r>
              <w:rPr>
                <w:rFonts w:ascii="Arial" w:hAnsi="Arial"/>
                <w:sz w:val="14"/>
              </w:rPr>
              <w:t>0.249868</w:t>
            </w:r>
          </w:p>
        </w:tc>
        <w:tc>
          <w:tcPr>
            <w:tcW w:type="dxa" w:w="1224"/>
            <w:vAlign w:val="center"/>
          </w:tcPr>
          <w:p>
            <w:r>
              <w:rPr>
                <w:rFonts w:ascii="Arial" w:hAnsi="Arial"/>
                <w:sz w:val="14"/>
              </w:rPr>
              <w:t>0.249628</w:t>
            </w:r>
          </w:p>
        </w:tc>
        <w:tc>
          <w:tcPr>
            <w:tcW w:type="dxa" w:w="1224"/>
            <w:vAlign w:val="center"/>
          </w:tcPr>
          <w:p>
            <w:r>
              <w:rPr>
                <w:rFonts w:ascii="Arial" w:hAnsi="Arial"/>
                <w:sz w:val="14"/>
              </w:rPr>
              <w:t>0.718399</w:t>
            </w:r>
          </w:p>
        </w:tc>
        <w:tc>
          <w:tcPr>
            <w:tcW w:type="dxa" w:w="1224"/>
            <w:vAlign w:val="center"/>
          </w:tcPr>
          <w:p>
            <w:r>
              <w:rPr>
                <w:rFonts w:ascii="Arial" w:hAnsi="Arial"/>
                <w:sz w:val="14"/>
              </w:rPr>
              <w:t>0.692877</w:t>
            </w:r>
          </w:p>
        </w:tc>
        <w:tc>
          <w:tcPr>
            <w:tcW w:type="dxa" w:w="1224"/>
            <w:vAlign w:val="center"/>
          </w:tcPr>
          <w:p>
            <w:r>
              <w:rPr>
                <w:rFonts w:ascii="Arial" w:hAnsi="Arial"/>
                <w:sz w:val="14"/>
              </w:rPr>
              <w:t>0.692403</w:t>
            </w:r>
          </w:p>
        </w:tc>
      </w:tr>
      <w:tr>
        <w:tc>
          <w:tcPr>
            <w:tcW w:type="dxa" w:w="1440"/>
            <w:vAlign w:val="center"/>
          </w:tcPr>
          <w:p>
            <w:r>
              <w:rPr>
                <w:rFonts w:ascii="Arial" w:hAnsi="Arial"/>
                <w:sz w:val="14"/>
              </w:rPr>
              <w:t>PRA</w:t>
            </w:r>
          </w:p>
        </w:tc>
        <w:tc>
          <w:tcPr>
            <w:tcW w:type="dxa" w:w="1008"/>
            <w:vAlign w:val="center"/>
          </w:tcPr>
          <w:p>
            <w:r>
              <w:rPr>
                <w:rFonts w:ascii="Arial" w:hAnsi="Arial"/>
                <w:sz w:val="14"/>
              </w:rPr>
              <w:t>4,431</w:t>
            </w:r>
          </w:p>
        </w:tc>
        <w:tc>
          <w:tcPr>
            <w:tcW w:type="dxa" w:w="1224"/>
            <w:vAlign w:val="center"/>
          </w:tcPr>
          <w:p>
            <w:r>
              <w:rPr>
                <w:rFonts w:ascii="Arial" w:hAnsi="Arial"/>
                <w:sz w:val="14"/>
              </w:rPr>
              <w:t>0.262102</w:t>
            </w:r>
          </w:p>
        </w:tc>
        <w:tc>
          <w:tcPr>
            <w:tcW w:type="dxa" w:w="1224"/>
            <w:vAlign w:val="center"/>
          </w:tcPr>
          <w:p>
            <w:r>
              <w:rPr>
                <w:rFonts w:ascii="Arial" w:hAnsi="Arial"/>
                <w:sz w:val="14"/>
              </w:rPr>
              <w:t>0.249611</w:t>
            </w:r>
          </w:p>
        </w:tc>
        <w:tc>
          <w:tcPr>
            <w:tcW w:type="dxa" w:w="1224"/>
            <w:vAlign w:val="center"/>
          </w:tcPr>
          <w:p>
            <w:r>
              <w:rPr>
                <w:rFonts w:ascii="Arial" w:hAnsi="Arial"/>
                <w:sz w:val="14"/>
              </w:rPr>
              <w:t>0.249439</w:t>
            </w:r>
          </w:p>
        </w:tc>
        <w:tc>
          <w:tcPr>
            <w:tcW w:type="dxa" w:w="1224"/>
            <w:vAlign w:val="center"/>
          </w:tcPr>
          <w:p>
            <w:r>
              <w:rPr>
                <w:rFonts w:ascii="Arial" w:hAnsi="Arial"/>
                <w:sz w:val="14"/>
              </w:rPr>
              <w:t>0.725523</w:t>
            </w:r>
          </w:p>
        </w:tc>
        <w:tc>
          <w:tcPr>
            <w:tcW w:type="dxa" w:w="1224"/>
            <w:vAlign w:val="center"/>
          </w:tcPr>
          <w:p>
            <w:r>
              <w:rPr>
                <w:rFonts w:ascii="Arial" w:hAnsi="Arial"/>
                <w:sz w:val="14"/>
              </w:rPr>
              <w:t>0.692369</w:t>
            </w:r>
          </w:p>
        </w:tc>
        <w:tc>
          <w:tcPr>
            <w:tcW w:type="dxa" w:w="1224"/>
            <w:vAlign w:val="center"/>
          </w:tcPr>
          <w:p>
            <w:r>
              <w:rPr>
                <w:rFonts w:ascii="Arial" w:hAnsi="Arial"/>
                <w:sz w:val="14"/>
              </w:rPr>
              <w:t>0.692025</w:t>
            </w:r>
          </w:p>
        </w:tc>
      </w:tr>
      <w:tr>
        <w:tc>
          <w:tcPr>
            <w:tcW w:type="dxa" w:w="1440"/>
            <w:vAlign w:val="center"/>
          </w:tcPr>
          <w:p>
            <w:r>
              <w:rPr>
                <w:rFonts w:ascii="Arial" w:hAnsi="Arial"/>
                <w:sz w:val="14"/>
              </w:rPr>
              <w:t>Rebounds</w:t>
            </w:r>
          </w:p>
        </w:tc>
        <w:tc>
          <w:tcPr>
            <w:tcW w:type="dxa" w:w="1008"/>
            <w:vAlign w:val="center"/>
          </w:tcPr>
          <w:p>
            <w:r>
              <w:rPr>
                <w:rFonts w:ascii="Arial" w:hAnsi="Arial"/>
                <w:sz w:val="14"/>
              </w:rPr>
              <w:t>4,421</w:t>
            </w:r>
          </w:p>
        </w:tc>
        <w:tc>
          <w:tcPr>
            <w:tcW w:type="dxa" w:w="1224"/>
            <w:vAlign w:val="center"/>
          </w:tcPr>
          <w:p>
            <w:r>
              <w:rPr>
                <w:rFonts w:ascii="Arial" w:hAnsi="Arial"/>
                <w:sz w:val="14"/>
              </w:rPr>
              <w:t>0.251257</w:t>
            </w:r>
          </w:p>
        </w:tc>
        <w:tc>
          <w:tcPr>
            <w:tcW w:type="dxa" w:w="1224"/>
            <w:vAlign w:val="center"/>
          </w:tcPr>
          <w:p>
            <w:r>
              <w:rPr>
                <w:rFonts w:ascii="Arial" w:hAnsi="Arial"/>
                <w:sz w:val="14"/>
              </w:rPr>
              <w:t>0.246793</w:t>
            </w:r>
          </w:p>
        </w:tc>
        <w:tc>
          <w:tcPr>
            <w:tcW w:type="dxa" w:w="1224"/>
            <w:vAlign w:val="center"/>
          </w:tcPr>
          <w:p>
            <w:r>
              <w:rPr>
                <w:rFonts w:ascii="Arial" w:hAnsi="Arial"/>
                <w:sz w:val="14"/>
              </w:rPr>
              <w:t>0.246233</w:t>
            </w:r>
          </w:p>
        </w:tc>
        <w:tc>
          <w:tcPr>
            <w:tcW w:type="dxa" w:w="1224"/>
            <w:vAlign w:val="center"/>
          </w:tcPr>
          <w:p>
            <w:r>
              <w:rPr>
                <w:rFonts w:ascii="Arial" w:hAnsi="Arial"/>
                <w:sz w:val="14"/>
              </w:rPr>
              <w:t>0.697282</w:t>
            </w:r>
          </w:p>
        </w:tc>
        <w:tc>
          <w:tcPr>
            <w:tcW w:type="dxa" w:w="1224"/>
            <w:vAlign w:val="center"/>
          </w:tcPr>
          <w:p>
            <w:r>
              <w:rPr>
                <w:rFonts w:ascii="Arial" w:hAnsi="Arial"/>
                <w:sz w:val="14"/>
              </w:rPr>
              <w:t>0.686641</w:t>
            </w:r>
          </w:p>
        </w:tc>
        <w:tc>
          <w:tcPr>
            <w:tcW w:type="dxa" w:w="1224"/>
            <w:vAlign w:val="center"/>
          </w:tcPr>
          <w:p>
            <w:r>
              <w:rPr>
                <w:rFonts w:ascii="Arial" w:hAnsi="Arial"/>
                <w:sz w:val="14"/>
              </w:rPr>
              <w:t>0.685501</w:t>
            </w:r>
          </w:p>
        </w:tc>
      </w:tr>
      <w:tr>
        <w:tc>
          <w:tcPr>
            <w:tcW w:type="dxa" w:w="1440"/>
            <w:vAlign w:val="center"/>
          </w:tcPr>
          <w:p>
            <w:r>
              <w:rPr>
                <w:rFonts w:ascii="Arial" w:hAnsi="Arial"/>
                <w:sz w:val="14"/>
              </w:rPr>
              <w:t>R+A</w:t>
            </w:r>
          </w:p>
        </w:tc>
        <w:tc>
          <w:tcPr>
            <w:tcW w:type="dxa" w:w="1008"/>
            <w:vAlign w:val="center"/>
          </w:tcPr>
          <w:p>
            <w:r>
              <w:rPr>
                <w:rFonts w:ascii="Arial" w:hAnsi="Arial"/>
                <w:sz w:val="14"/>
              </w:rPr>
              <w:t>3,460</w:t>
            </w:r>
          </w:p>
        </w:tc>
        <w:tc>
          <w:tcPr>
            <w:tcW w:type="dxa" w:w="1224"/>
            <w:vAlign w:val="center"/>
          </w:tcPr>
          <w:p>
            <w:r>
              <w:rPr>
                <w:rFonts w:ascii="Arial" w:hAnsi="Arial"/>
                <w:sz w:val="14"/>
              </w:rPr>
              <w:t>0.254892</w:t>
            </w:r>
          </w:p>
        </w:tc>
        <w:tc>
          <w:tcPr>
            <w:tcW w:type="dxa" w:w="1224"/>
            <w:vAlign w:val="center"/>
          </w:tcPr>
          <w:p>
            <w:r>
              <w:rPr>
                <w:rFonts w:ascii="Arial" w:hAnsi="Arial"/>
                <w:sz w:val="14"/>
              </w:rPr>
              <w:t>0.248599</w:t>
            </w:r>
          </w:p>
        </w:tc>
        <w:tc>
          <w:tcPr>
            <w:tcW w:type="dxa" w:w="1224"/>
            <w:vAlign w:val="center"/>
          </w:tcPr>
          <w:p>
            <w:r>
              <w:rPr>
                <w:rFonts w:ascii="Arial" w:hAnsi="Arial"/>
                <w:sz w:val="14"/>
              </w:rPr>
              <w:t>0.248577</w:t>
            </w:r>
          </w:p>
        </w:tc>
        <w:tc>
          <w:tcPr>
            <w:tcW w:type="dxa" w:w="1224"/>
            <w:vAlign w:val="center"/>
          </w:tcPr>
          <w:p>
            <w:r>
              <w:rPr>
                <w:rFonts w:ascii="Arial" w:hAnsi="Arial"/>
                <w:sz w:val="14"/>
              </w:rPr>
              <w:t>0.707325</w:t>
            </w:r>
          </w:p>
        </w:tc>
        <w:tc>
          <w:tcPr>
            <w:tcW w:type="dxa" w:w="1224"/>
            <w:vAlign w:val="center"/>
          </w:tcPr>
          <w:p>
            <w:r>
              <w:rPr>
                <w:rFonts w:ascii="Arial" w:hAnsi="Arial"/>
                <w:sz w:val="14"/>
              </w:rPr>
              <w:t>0.690340</w:t>
            </w:r>
          </w:p>
        </w:tc>
        <w:tc>
          <w:tcPr>
            <w:tcW w:type="dxa" w:w="1224"/>
            <w:vAlign w:val="center"/>
          </w:tcPr>
          <w:p>
            <w:r>
              <w:rPr>
                <w:rFonts w:ascii="Arial" w:hAnsi="Arial"/>
                <w:sz w:val="14"/>
              </w:rPr>
              <w:t>0.690295</w:t>
            </w:r>
          </w:p>
        </w:tc>
      </w:tr>
      <w:tr>
        <w:tc>
          <w:tcPr>
            <w:tcW w:type="dxa" w:w="1440"/>
            <w:vAlign w:val="center"/>
          </w:tcPr>
          <w:p>
            <w:r>
              <w:rPr>
                <w:rFonts w:ascii="Arial" w:hAnsi="Arial"/>
                <w:sz w:val="14"/>
              </w:rPr>
              <w:t>Steals</w:t>
            </w:r>
          </w:p>
        </w:tc>
        <w:tc>
          <w:tcPr>
            <w:tcW w:type="dxa" w:w="1008"/>
            <w:vAlign w:val="center"/>
          </w:tcPr>
          <w:p>
            <w:r>
              <w:rPr>
                <w:rFonts w:ascii="Arial" w:hAnsi="Arial"/>
                <w:sz w:val="14"/>
              </w:rPr>
              <w:t>4,342</w:t>
            </w:r>
          </w:p>
        </w:tc>
        <w:tc>
          <w:tcPr>
            <w:tcW w:type="dxa" w:w="1224"/>
            <w:vAlign w:val="center"/>
          </w:tcPr>
          <w:p>
            <w:r>
              <w:rPr>
                <w:rFonts w:ascii="Arial" w:hAnsi="Arial"/>
                <w:sz w:val="14"/>
              </w:rPr>
              <w:t>0.239125</w:t>
            </w:r>
          </w:p>
        </w:tc>
        <w:tc>
          <w:tcPr>
            <w:tcW w:type="dxa" w:w="1224"/>
            <w:vAlign w:val="center"/>
          </w:tcPr>
          <w:p>
            <w:r>
              <w:rPr>
                <w:rFonts w:ascii="Arial" w:hAnsi="Arial"/>
                <w:sz w:val="14"/>
              </w:rPr>
              <w:t>0.239125</w:t>
            </w:r>
          </w:p>
        </w:tc>
        <w:tc>
          <w:tcPr>
            <w:tcW w:type="dxa" w:w="1224"/>
            <w:vAlign w:val="center"/>
          </w:tcPr>
          <w:p>
            <w:r>
              <w:rPr>
                <w:rFonts w:ascii="Arial" w:hAnsi="Arial"/>
                <w:sz w:val="14"/>
              </w:rPr>
              <w:t>0.242251</w:t>
            </w:r>
          </w:p>
        </w:tc>
        <w:tc>
          <w:tcPr>
            <w:tcW w:type="dxa" w:w="1224"/>
            <w:vAlign w:val="center"/>
          </w:tcPr>
          <w:p>
            <w:r>
              <w:rPr>
                <w:rFonts w:ascii="Arial" w:hAnsi="Arial"/>
                <w:sz w:val="14"/>
              </w:rPr>
              <w:t>0.671535</w:t>
            </w:r>
          </w:p>
        </w:tc>
        <w:tc>
          <w:tcPr>
            <w:tcW w:type="dxa" w:w="1224"/>
            <w:vAlign w:val="center"/>
          </w:tcPr>
          <w:p>
            <w:r>
              <w:rPr>
                <w:rFonts w:ascii="Arial" w:hAnsi="Arial"/>
                <w:sz w:val="14"/>
              </w:rPr>
              <w:t>0.671535</w:t>
            </w:r>
          </w:p>
        </w:tc>
        <w:tc>
          <w:tcPr>
            <w:tcW w:type="dxa" w:w="1224"/>
            <w:vAlign w:val="center"/>
          </w:tcPr>
          <w:p>
            <w:r>
              <w:rPr>
                <w:rFonts w:ascii="Arial" w:hAnsi="Arial"/>
                <w:sz w:val="14"/>
              </w:rPr>
              <w:t>0.677544</w:t>
            </w:r>
          </w:p>
        </w:tc>
      </w:tr>
      <w:tr>
        <w:tc>
          <w:tcPr>
            <w:tcW w:type="dxa" w:w="1440"/>
            <w:vAlign w:val="center"/>
          </w:tcPr>
          <w:p>
            <w:r>
              <w:rPr>
                <w:rFonts w:ascii="Arial" w:hAnsi="Arial"/>
                <w:sz w:val="14"/>
              </w:rPr>
              <w:t>Threes</w:t>
            </w:r>
          </w:p>
        </w:tc>
        <w:tc>
          <w:tcPr>
            <w:tcW w:type="dxa" w:w="1008"/>
            <w:vAlign w:val="center"/>
          </w:tcPr>
          <w:p>
            <w:r>
              <w:rPr>
                <w:rFonts w:ascii="Arial" w:hAnsi="Arial"/>
                <w:sz w:val="14"/>
              </w:rPr>
              <w:t>3,851</w:t>
            </w:r>
          </w:p>
        </w:tc>
        <w:tc>
          <w:tcPr>
            <w:tcW w:type="dxa" w:w="1224"/>
            <w:vAlign w:val="center"/>
          </w:tcPr>
          <w:p>
            <w:r>
              <w:rPr>
                <w:rFonts w:ascii="Arial" w:hAnsi="Arial"/>
                <w:sz w:val="14"/>
              </w:rPr>
              <w:t>0.240340</w:t>
            </w:r>
          </w:p>
        </w:tc>
        <w:tc>
          <w:tcPr>
            <w:tcW w:type="dxa" w:w="1224"/>
            <w:vAlign w:val="center"/>
          </w:tcPr>
          <w:p>
            <w:r>
              <w:rPr>
                <w:rFonts w:ascii="Arial" w:hAnsi="Arial"/>
                <w:sz w:val="14"/>
              </w:rPr>
              <w:t>0.239544</w:t>
            </w:r>
          </w:p>
        </w:tc>
        <w:tc>
          <w:tcPr>
            <w:tcW w:type="dxa" w:w="1224"/>
            <w:vAlign w:val="center"/>
          </w:tcPr>
          <w:p>
            <w:r>
              <w:rPr>
                <w:rFonts w:ascii="Arial" w:hAnsi="Arial"/>
                <w:sz w:val="14"/>
              </w:rPr>
              <w:t>0.237022</w:t>
            </w:r>
          </w:p>
        </w:tc>
        <w:tc>
          <w:tcPr>
            <w:tcW w:type="dxa" w:w="1224"/>
            <w:vAlign w:val="center"/>
          </w:tcPr>
          <w:p>
            <w:r>
              <w:rPr>
                <w:rFonts w:ascii="Arial" w:hAnsi="Arial"/>
                <w:sz w:val="14"/>
              </w:rPr>
              <w:t>0.673600</w:t>
            </w:r>
          </w:p>
        </w:tc>
        <w:tc>
          <w:tcPr>
            <w:tcW w:type="dxa" w:w="1224"/>
            <w:vAlign w:val="center"/>
          </w:tcPr>
          <w:p>
            <w:r>
              <w:rPr>
                <w:rFonts w:ascii="Arial" w:hAnsi="Arial"/>
                <w:sz w:val="14"/>
              </w:rPr>
              <w:t>0.671451</w:t>
            </w:r>
          </w:p>
        </w:tc>
        <w:tc>
          <w:tcPr>
            <w:tcW w:type="dxa" w:w="1224"/>
            <w:vAlign w:val="center"/>
          </w:tcPr>
          <w:p>
            <w:r>
              <w:rPr>
                <w:rFonts w:ascii="Arial" w:hAnsi="Arial"/>
                <w:sz w:val="14"/>
              </w:rPr>
              <w:t>0.666082</w:t>
            </w:r>
          </w:p>
        </w:tc>
      </w:tr>
    </w:tbl>
    <w:p/>
    <w:p>
      <w:r>
        <w:t>Calibration materially improved the model, but the aggregate selected model remained approximately tied with/slightly behind the market on proper scoring. Steals was the clearest category where the model outscored the market in this development sample; P+A and R+A were close to parity.</w:t>
      </w:r>
    </w:p>
    <w:p>
      <w:pPr>
        <w:pStyle w:val="Heading2"/>
      </w:pPr>
      <w:r>
        <w:t>6.4 Development ROI diagnostics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D9EAF7"/>
            <w:vAlign w:val="center"/>
          </w:tcPr>
          <w:p>
            <w:pPr>
              <w:jc w:val="center"/>
            </w:pPr>
            <w:r>
              <w:rPr>
                <w:rFonts w:ascii="Arial" w:hAnsi="Arial"/>
                <w:b/>
                <w:sz w:val="17"/>
              </w:rPr>
              <w:t>Edge threshold</w:t>
            </w:r>
          </w:p>
        </w:tc>
        <w:tc>
          <w:tcPr>
            <w:tcW w:type="dxa" w:w="3600"/>
            <w:shd w:fill="D9EAF7"/>
            <w:vAlign w:val="center"/>
          </w:tcPr>
          <w:p>
            <w:pPr>
              <w:jc w:val="center"/>
            </w:pPr>
            <w:r>
              <w:rPr>
                <w:rFonts w:ascii="Arial" w:hAnsi="Arial"/>
                <w:b/>
                <w:sz w:val="17"/>
              </w:rPr>
              <w:t>Best-event OOF development ROI</w:t>
            </w:r>
          </w:p>
        </w:tc>
      </w:tr>
      <w:tr>
        <w:tc>
          <w:tcPr>
            <w:tcW w:type="dxa" w:w="2880"/>
            <w:vAlign w:val="center"/>
          </w:tcPr>
          <w:p>
            <w:r>
              <w:rPr>
                <w:rFonts w:ascii="Arial" w:hAnsi="Arial"/>
                <w:sz w:val="17"/>
              </w:rPr>
              <w:t>1.0%</w:t>
            </w:r>
          </w:p>
        </w:tc>
        <w:tc>
          <w:tcPr>
            <w:tcW w:type="dxa" w:w="3600"/>
            <w:vAlign w:val="center"/>
          </w:tcPr>
          <w:p>
            <w:r>
              <w:rPr>
                <w:rFonts w:ascii="Arial" w:hAnsi="Arial"/>
                <w:sz w:val="17"/>
              </w:rPr>
              <w:t>+0.158%</w:t>
            </w:r>
          </w:p>
        </w:tc>
      </w:tr>
      <w:tr>
        <w:tc>
          <w:tcPr>
            <w:tcW w:type="dxa" w:w="2880"/>
            <w:vAlign w:val="center"/>
          </w:tcPr>
          <w:p>
            <w:r>
              <w:rPr>
                <w:rFonts w:ascii="Arial" w:hAnsi="Arial"/>
                <w:sz w:val="17"/>
              </w:rPr>
              <w:t>2.0%</w:t>
            </w:r>
          </w:p>
        </w:tc>
        <w:tc>
          <w:tcPr>
            <w:tcW w:type="dxa" w:w="3600"/>
            <w:vAlign w:val="center"/>
          </w:tcPr>
          <w:p>
            <w:r>
              <w:rPr>
                <w:rFonts w:ascii="Arial" w:hAnsi="Arial"/>
                <w:sz w:val="17"/>
              </w:rPr>
              <w:t>+0.166%</w:t>
            </w:r>
          </w:p>
        </w:tc>
      </w:tr>
      <w:tr>
        <w:tc>
          <w:tcPr>
            <w:tcW w:type="dxa" w:w="2880"/>
            <w:vAlign w:val="center"/>
          </w:tcPr>
          <w:p>
            <w:r>
              <w:rPr>
                <w:rFonts w:ascii="Arial" w:hAnsi="Arial"/>
                <w:sz w:val="17"/>
              </w:rPr>
              <w:t>3.0%</w:t>
            </w:r>
          </w:p>
        </w:tc>
        <w:tc>
          <w:tcPr>
            <w:tcW w:type="dxa" w:w="3600"/>
            <w:vAlign w:val="center"/>
          </w:tcPr>
          <w:p>
            <w:r>
              <w:rPr>
                <w:rFonts w:ascii="Arial" w:hAnsi="Arial"/>
                <w:sz w:val="17"/>
              </w:rPr>
              <w:t>+0.069%</w:t>
            </w:r>
          </w:p>
        </w:tc>
      </w:tr>
      <w:tr>
        <w:tc>
          <w:tcPr>
            <w:tcW w:type="dxa" w:w="2880"/>
            <w:vAlign w:val="center"/>
          </w:tcPr>
          <w:p>
            <w:r>
              <w:rPr>
                <w:rFonts w:ascii="Arial" w:hAnsi="Arial"/>
                <w:sz w:val="17"/>
              </w:rPr>
              <w:t>5.0%</w:t>
            </w:r>
          </w:p>
        </w:tc>
        <w:tc>
          <w:tcPr>
            <w:tcW w:type="dxa" w:w="3600"/>
            <w:vAlign w:val="center"/>
          </w:tcPr>
          <w:p>
            <w:r>
              <w:rPr>
                <w:rFonts w:ascii="Arial" w:hAnsi="Arial"/>
                <w:sz w:val="17"/>
              </w:rPr>
              <w:t>+1.759%</w:t>
            </w:r>
          </w:p>
        </w:tc>
      </w:tr>
      <w:tr>
        <w:tc>
          <w:tcPr>
            <w:tcW w:type="dxa" w:w="2880"/>
            <w:vAlign w:val="center"/>
          </w:tcPr>
          <w:p>
            <w:r>
              <w:rPr>
                <w:rFonts w:ascii="Arial" w:hAnsi="Arial"/>
                <w:sz w:val="17"/>
              </w:rPr>
              <w:t>7.5%</w:t>
            </w:r>
          </w:p>
        </w:tc>
        <w:tc>
          <w:tcPr>
            <w:tcW w:type="dxa" w:w="3600"/>
            <w:vAlign w:val="center"/>
          </w:tcPr>
          <w:p>
            <w:r>
              <w:rPr>
                <w:rFonts w:ascii="Arial" w:hAnsi="Arial"/>
                <w:sz w:val="17"/>
              </w:rPr>
              <w:t>+3.915%</w:t>
            </w:r>
          </w:p>
        </w:tc>
      </w:tr>
      <w:tr>
        <w:tc>
          <w:tcPr>
            <w:tcW w:type="dxa" w:w="2880"/>
            <w:vAlign w:val="center"/>
          </w:tcPr>
          <w:p>
            <w:r>
              <w:rPr>
                <w:rFonts w:ascii="Arial" w:hAnsi="Arial"/>
                <w:sz w:val="17"/>
              </w:rPr>
              <w:t>10.0%</w:t>
            </w:r>
          </w:p>
        </w:tc>
        <w:tc>
          <w:tcPr>
            <w:tcW w:type="dxa" w:w="3600"/>
            <w:vAlign w:val="center"/>
          </w:tcPr>
          <w:p>
            <w:r>
              <w:rPr>
                <w:rFonts w:ascii="Arial" w:hAnsi="Arial"/>
                <w:sz w:val="17"/>
              </w:rPr>
              <w:t>+4.805%</w:t>
            </w:r>
          </w:p>
        </w:tc>
      </w:tr>
    </w:tbl>
    <w:p/>
    <w:p>
      <w:r>
        <w:t>These threshold results are not production selection evidence. The thresholds were intentionally left as a fixed monitoring grid.</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592"/>
            <w:shd w:fill="D9EAF7"/>
            <w:vAlign w:val="center"/>
          </w:tcPr>
          <w:p>
            <w:pPr>
              <w:jc w:val="center"/>
            </w:pPr>
            <w:r>
              <w:rPr>
                <w:rFonts w:ascii="Arial" w:hAnsi="Arial"/>
                <w:b/>
                <w:sz w:val="16"/>
              </w:rPr>
              <w:t>Scope</w:t>
            </w:r>
          </w:p>
        </w:tc>
        <w:tc>
          <w:tcPr>
            <w:tcW w:type="dxa" w:w="1440"/>
            <w:shd w:fill="D9EAF7"/>
            <w:vAlign w:val="center"/>
          </w:tcPr>
          <w:p>
            <w:pPr>
              <w:jc w:val="center"/>
            </w:pPr>
            <w:r>
              <w:rPr>
                <w:rFonts w:ascii="Arial" w:hAnsi="Arial"/>
                <w:b/>
                <w:sz w:val="16"/>
              </w:rPr>
              <w:t>ROI</w:t>
            </w:r>
          </w:p>
        </w:tc>
        <w:tc>
          <w:tcPr>
            <w:tcW w:type="dxa" w:w="1728"/>
            <w:shd w:fill="D9EAF7"/>
            <w:vAlign w:val="center"/>
          </w:tcPr>
          <w:p>
            <w:pPr>
              <w:jc w:val="center"/>
            </w:pPr>
            <w:r>
              <w:rPr>
                <w:rFonts w:ascii="Arial" w:hAnsi="Arial"/>
                <w:b/>
                <w:sz w:val="16"/>
              </w:rPr>
              <w:t>Game-cluster CI low</w:t>
            </w:r>
          </w:p>
        </w:tc>
        <w:tc>
          <w:tcPr>
            <w:tcW w:type="dxa" w:w="1440"/>
            <w:shd w:fill="D9EAF7"/>
            <w:vAlign w:val="center"/>
          </w:tcPr>
          <w:p>
            <w:pPr>
              <w:jc w:val="center"/>
            </w:pPr>
            <w:r>
              <w:rPr>
                <w:rFonts w:ascii="Arial" w:hAnsi="Arial"/>
                <w:b/>
                <w:sz w:val="16"/>
              </w:rPr>
              <w:t>CI high</w:t>
            </w:r>
          </w:p>
        </w:tc>
        <w:tc>
          <w:tcPr>
            <w:tcW w:type="dxa" w:w="1440"/>
            <w:shd w:fill="D9EAF7"/>
            <w:vAlign w:val="center"/>
          </w:tcPr>
          <w:p>
            <w:pPr>
              <w:jc w:val="center"/>
            </w:pPr>
            <w:r>
              <w:rPr>
                <w:rFonts w:ascii="Arial" w:hAnsi="Arial"/>
                <w:b/>
                <w:sz w:val="16"/>
              </w:rPr>
              <w:t>P(ROI&gt;0)</w:t>
            </w:r>
          </w:p>
        </w:tc>
      </w:tr>
      <w:tr>
        <w:tc>
          <w:tcPr>
            <w:tcW w:type="dxa" w:w="2592"/>
            <w:vAlign w:val="center"/>
          </w:tcPr>
          <w:p>
            <w:r>
              <w:rPr>
                <w:rFonts w:ascii="Arial" w:hAnsi="Arial"/>
                <w:sz w:val="16"/>
              </w:rPr>
              <w:t>Best-vendor-event @ 3%</w:t>
            </w:r>
          </w:p>
        </w:tc>
        <w:tc>
          <w:tcPr>
            <w:tcW w:type="dxa" w:w="1440"/>
            <w:vAlign w:val="center"/>
          </w:tcPr>
          <w:p>
            <w:r>
              <w:rPr>
                <w:rFonts w:ascii="Arial" w:hAnsi="Arial"/>
                <w:sz w:val="16"/>
              </w:rPr>
              <w:t>-1.299%</w:t>
            </w:r>
          </w:p>
        </w:tc>
        <w:tc>
          <w:tcPr>
            <w:tcW w:type="dxa" w:w="1728"/>
            <w:vAlign w:val="center"/>
          </w:tcPr>
          <w:p>
            <w:r>
              <w:rPr>
                <w:rFonts w:ascii="Arial" w:hAnsi="Arial"/>
                <w:sz w:val="16"/>
              </w:rPr>
              <w:t>-3.141%</w:t>
            </w:r>
          </w:p>
        </w:tc>
        <w:tc>
          <w:tcPr>
            <w:tcW w:type="dxa" w:w="1440"/>
            <w:vAlign w:val="center"/>
          </w:tcPr>
          <w:p>
            <w:r>
              <w:rPr>
                <w:rFonts w:ascii="Arial" w:hAnsi="Arial"/>
                <w:sz w:val="16"/>
              </w:rPr>
              <w:t>+0.580%</w:t>
            </w:r>
          </w:p>
        </w:tc>
        <w:tc>
          <w:tcPr>
            <w:tcW w:type="dxa" w:w="1440"/>
            <w:vAlign w:val="center"/>
          </w:tcPr>
          <w:p>
            <w:r>
              <w:rPr>
                <w:rFonts w:ascii="Arial" w:hAnsi="Arial"/>
                <w:sz w:val="16"/>
              </w:rPr>
              <w:t>0.085</w:t>
            </w:r>
          </w:p>
        </w:tc>
      </w:tr>
      <w:tr>
        <w:tc>
          <w:tcPr>
            <w:tcW w:type="dxa" w:w="2592"/>
            <w:vAlign w:val="center"/>
          </w:tcPr>
          <w:p>
            <w:r>
              <w:rPr>
                <w:rFonts w:ascii="Arial" w:hAnsi="Arial"/>
                <w:sz w:val="16"/>
              </w:rPr>
              <w:t>Best-event @ 3%</w:t>
            </w:r>
          </w:p>
        </w:tc>
        <w:tc>
          <w:tcPr>
            <w:tcW w:type="dxa" w:w="1440"/>
            <w:vAlign w:val="center"/>
          </w:tcPr>
          <w:p>
            <w:r>
              <w:rPr>
                <w:rFonts w:ascii="Arial" w:hAnsi="Arial"/>
                <w:sz w:val="16"/>
              </w:rPr>
              <w:t>+0.069%</w:t>
            </w:r>
          </w:p>
        </w:tc>
        <w:tc>
          <w:tcPr>
            <w:tcW w:type="dxa" w:w="1728"/>
            <w:vAlign w:val="center"/>
          </w:tcPr>
          <w:p>
            <w:r>
              <w:rPr>
                <w:rFonts w:ascii="Arial" w:hAnsi="Arial"/>
                <w:sz w:val="16"/>
              </w:rPr>
              <w:t>-1.688%</w:t>
            </w:r>
          </w:p>
        </w:tc>
        <w:tc>
          <w:tcPr>
            <w:tcW w:type="dxa" w:w="1440"/>
            <w:vAlign w:val="center"/>
          </w:tcPr>
          <w:p>
            <w:r>
              <w:rPr>
                <w:rFonts w:ascii="Arial" w:hAnsi="Arial"/>
                <w:sz w:val="16"/>
              </w:rPr>
              <w:t>+1.793%</w:t>
            </w:r>
          </w:p>
        </w:tc>
        <w:tc>
          <w:tcPr>
            <w:tcW w:type="dxa" w:w="1440"/>
            <w:vAlign w:val="center"/>
          </w:tcPr>
          <w:p>
            <w:r>
              <w:rPr>
                <w:rFonts w:ascii="Arial" w:hAnsi="Arial"/>
                <w:sz w:val="16"/>
              </w:rPr>
              <w:t>0.538</w:t>
            </w:r>
          </w:p>
        </w:tc>
      </w:tr>
    </w:tbl>
    <w:p/>
    <w:p>
      <w:pPr>
        <w:spacing w:before="80" w:after="120"/>
        <w:ind w:left="288" w:right="288"/>
      </w:pPr>
      <w:r>
        <w:rPr>
          <w:i/>
          <w:sz w:val="18"/>
        </w:rPr>
        <w:t>Conclusion from development ROI: no betting threshold is frozen. The apparent larger ROI at higher edge cutoffs is subject to selection, multiple-comparison, quote-shopping, and sample-size effects.</w:t>
      </w:r>
    </w:p>
    <w:p>
      <w:pPr>
        <w:pStyle w:val="Heading1"/>
      </w:pPr>
      <w:r>
        <w:t>7. Interpretability assessment</w:t>
      </w:r>
    </w:p>
    <w:p>
      <w:r>
        <w:t>The model is interpretable at the architecture and pricing-policy levels because every major transformation has a clear economic/statistical role and a frozen policy artifact. The most opaque component is the internal nonlinear XGBoost mapping from features to expected minutes/target means.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shd w:fill="D9EAF7"/>
            <w:vAlign w:val="center"/>
          </w:tcPr>
          <w:p>
            <w:pPr>
              <w:jc w:val="center"/>
            </w:pPr>
            <w:r>
              <w:rPr>
                <w:rFonts w:ascii="Arial" w:hAnsi="Arial"/>
                <w:b/>
                <w:sz w:val="16"/>
              </w:rPr>
              <w:t>Layer</w:t>
            </w:r>
          </w:p>
        </w:tc>
        <w:tc>
          <w:tcPr>
            <w:tcW w:type="dxa" w:w="1728"/>
            <w:shd w:fill="D9EAF7"/>
            <w:vAlign w:val="center"/>
          </w:tcPr>
          <w:p>
            <w:pPr>
              <w:jc w:val="center"/>
            </w:pPr>
            <w:r>
              <w:rPr>
                <w:rFonts w:ascii="Arial" w:hAnsi="Arial"/>
                <w:b/>
                <w:sz w:val="16"/>
              </w:rPr>
              <w:t>Interpretability</w:t>
            </w:r>
          </w:p>
        </w:tc>
        <w:tc>
          <w:tcPr>
            <w:tcW w:type="dxa" w:w="5904"/>
            <w:shd w:fill="D9EAF7"/>
            <w:vAlign w:val="center"/>
          </w:tcPr>
          <w:p>
            <w:pPr>
              <w:jc w:val="center"/>
            </w:pPr>
            <w:r>
              <w:rPr>
                <w:rFonts w:ascii="Arial" w:hAnsi="Arial"/>
                <w:b/>
                <w:sz w:val="16"/>
              </w:rPr>
              <w:t>Comment</w:t>
            </w:r>
          </w:p>
        </w:tc>
      </w:tr>
      <w:tr>
        <w:tc>
          <w:tcPr>
            <w:tcW w:type="dxa" w:w="2160"/>
            <w:vAlign w:val="center"/>
          </w:tcPr>
          <w:p>
            <w:r>
              <w:rPr>
                <w:rFonts w:ascii="Arial" w:hAnsi="Arial"/>
                <w:sz w:val="16"/>
              </w:rPr>
              <w:t>Data timing</w:t>
            </w:r>
          </w:p>
        </w:tc>
        <w:tc>
          <w:tcPr>
            <w:tcW w:type="dxa" w:w="1728"/>
            <w:vAlign w:val="center"/>
          </w:tcPr>
          <w:p>
            <w:r>
              <w:rPr>
                <w:rFonts w:ascii="Arial" w:hAnsi="Arial"/>
                <w:sz w:val="16"/>
              </w:rPr>
              <w:t>High</w:t>
            </w:r>
          </w:p>
        </w:tc>
        <w:tc>
          <w:tcPr>
            <w:tcW w:type="dxa" w:w="5904"/>
            <w:vAlign w:val="center"/>
          </w:tcPr>
          <w:p>
            <w:r>
              <w:rPr>
                <w:rFonts w:ascii="Arial" w:hAnsi="Arial"/>
                <w:sz w:val="16"/>
              </w:rPr>
              <w:t>Historical vs current inputs and leakage rules are explicit.</w:t>
            </w:r>
          </w:p>
        </w:tc>
      </w:tr>
      <w:tr>
        <w:tc>
          <w:tcPr>
            <w:tcW w:type="dxa" w:w="2160"/>
            <w:vAlign w:val="center"/>
          </w:tcPr>
          <w:p>
            <w:r>
              <w:rPr>
                <w:rFonts w:ascii="Arial" w:hAnsi="Arial"/>
                <w:sz w:val="16"/>
              </w:rPr>
              <w:t>Minutes</w:t>
            </w:r>
          </w:p>
        </w:tc>
        <w:tc>
          <w:tcPr>
            <w:tcW w:type="dxa" w:w="1728"/>
            <w:vAlign w:val="center"/>
          </w:tcPr>
          <w:p>
            <w:r>
              <w:rPr>
                <w:rFonts w:ascii="Arial" w:hAnsi="Arial"/>
                <w:sz w:val="16"/>
              </w:rPr>
              <w:t>Moderate</w:t>
            </w:r>
          </w:p>
        </w:tc>
        <w:tc>
          <w:tcPr>
            <w:tcW w:type="dxa" w:w="5904"/>
            <w:vAlign w:val="center"/>
          </w:tcPr>
          <w:p>
            <w:r>
              <w:rPr>
                <w:rFonts w:ascii="Arial" w:hAnsi="Arial"/>
                <w:sz w:val="16"/>
              </w:rPr>
              <w:t>Separate exposure model; nonlinear tree internals.</w:t>
            </w:r>
          </w:p>
        </w:tc>
      </w:tr>
      <w:tr>
        <w:tc>
          <w:tcPr>
            <w:tcW w:type="dxa" w:w="2160"/>
            <w:vAlign w:val="center"/>
          </w:tcPr>
          <w:p>
            <w:r>
              <w:rPr>
                <w:rFonts w:ascii="Arial" w:hAnsi="Arial"/>
                <w:sz w:val="16"/>
              </w:rPr>
              <w:t>Dynamic priors</w:t>
            </w:r>
          </w:p>
        </w:tc>
        <w:tc>
          <w:tcPr>
            <w:tcW w:type="dxa" w:w="1728"/>
            <w:vAlign w:val="center"/>
          </w:tcPr>
          <w:p>
            <w:r>
              <w:rPr>
                <w:rFonts w:ascii="Arial" w:hAnsi="Arial"/>
                <w:sz w:val="16"/>
              </w:rPr>
              <w:t>High</w:t>
            </w:r>
          </w:p>
        </w:tc>
        <w:tc>
          <w:tcPr>
            <w:tcW w:type="dxa" w:w="5904"/>
            <w:vAlign w:val="center"/>
          </w:tcPr>
          <w:p>
            <w:r>
              <w:rPr>
                <w:rFonts w:ascii="Arial" w:hAnsi="Arial"/>
                <w:sz w:val="16"/>
              </w:rPr>
              <w:t>Decay/Kalman components and parameters are explicit.</w:t>
            </w:r>
          </w:p>
        </w:tc>
      </w:tr>
      <w:tr>
        <w:tc>
          <w:tcPr>
            <w:tcW w:type="dxa" w:w="2160"/>
            <w:vAlign w:val="center"/>
          </w:tcPr>
          <w:p>
            <w:r>
              <w:rPr>
                <w:rFonts w:ascii="Arial" w:hAnsi="Arial"/>
                <w:sz w:val="16"/>
              </w:rPr>
              <w:t>Target mean selection</w:t>
            </w:r>
          </w:p>
        </w:tc>
        <w:tc>
          <w:tcPr>
            <w:tcW w:type="dxa" w:w="1728"/>
            <w:vAlign w:val="center"/>
          </w:tcPr>
          <w:p>
            <w:r>
              <w:rPr>
                <w:rFonts w:ascii="Arial" w:hAnsi="Arial"/>
                <w:sz w:val="16"/>
              </w:rPr>
              <w:t>High</w:t>
            </w:r>
          </w:p>
        </w:tc>
        <w:tc>
          <w:tcPr>
            <w:tcW w:type="dxa" w:w="5904"/>
            <w:vAlign w:val="center"/>
          </w:tcPr>
          <w:p>
            <w:r>
              <w:rPr>
                <w:rFonts w:ascii="Arial" w:hAnsi="Arial"/>
                <w:sz w:val="16"/>
              </w:rPr>
              <w:t>Frozen XGB vs ensemble policy and weights.</w:t>
            </w:r>
          </w:p>
        </w:tc>
      </w:tr>
      <w:tr>
        <w:tc>
          <w:tcPr>
            <w:tcW w:type="dxa" w:w="2160"/>
            <w:vAlign w:val="center"/>
          </w:tcPr>
          <w:p>
            <w:r>
              <w:rPr>
                <w:rFonts w:ascii="Arial" w:hAnsi="Arial"/>
                <w:sz w:val="16"/>
              </w:rPr>
              <w:t>Marginal distribution</w:t>
            </w:r>
          </w:p>
        </w:tc>
        <w:tc>
          <w:tcPr>
            <w:tcW w:type="dxa" w:w="1728"/>
            <w:vAlign w:val="center"/>
          </w:tcPr>
          <w:p>
            <w:r>
              <w:rPr>
                <w:rFonts w:ascii="Arial" w:hAnsi="Arial"/>
                <w:sz w:val="16"/>
              </w:rPr>
              <w:t>High</w:t>
            </w:r>
          </w:p>
        </w:tc>
        <w:tc>
          <w:tcPr>
            <w:tcW w:type="dxa" w:w="5904"/>
            <w:vAlign w:val="center"/>
          </w:tcPr>
          <w:p>
            <w:r>
              <w:rPr>
                <w:rFonts w:ascii="Arial" w:hAnsi="Arial"/>
                <w:sz w:val="16"/>
              </w:rPr>
              <w:t>Mean-preserving ZINB with explicit parameters.</w:t>
            </w:r>
          </w:p>
        </w:tc>
      </w:tr>
      <w:tr>
        <w:tc>
          <w:tcPr>
            <w:tcW w:type="dxa" w:w="2160"/>
            <w:vAlign w:val="center"/>
          </w:tcPr>
          <w:p>
            <w:r>
              <w:rPr>
                <w:rFonts w:ascii="Arial" w:hAnsi="Arial"/>
                <w:sz w:val="16"/>
              </w:rPr>
              <w:t>Combo dependence</w:t>
            </w:r>
          </w:p>
        </w:tc>
        <w:tc>
          <w:tcPr>
            <w:tcW w:type="dxa" w:w="1728"/>
            <w:vAlign w:val="center"/>
          </w:tcPr>
          <w:p>
            <w:r>
              <w:rPr>
                <w:rFonts w:ascii="Arial" w:hAnsi="Arial"/>
                <w:sz w:val="16"/>
              </w:rPr>
              <w:t>High</w:t>
            </w:r>
          </w:p>
        </w:tc>
        <w:tc>
          <w:tcPr>
            <w:tcW w:type="dxa" w:w="5904"/>
            <w:vAlign w:val="center"/>
          </w:tcPr>
          <w:p>
            <w:r>
              <w:rPr>
                <w:rFonts w:ascii="Arial" w:hAnsi="Arial"/>
                <w:sz w:val="16"/>
              </w:rPr>
              <w:t>Production lambda policy explicit and sparse.</w:t>
            </w:r>
          </w:p>
        </w:tc>
      </w:tr>
      <w:tr>
        <w:tc>
          <w:tcPr>
            <w:tcW w:type="dxa" w:w="2160"/>
            <w:vAlign w:val="center"/>
          </w:tcPr>
          <w:p>
            <w:r>
              <w:rPr>
                <w:rFonts w:ascii="Arial" w:hAnsi="Arial"/>
                <w:sz w:val="16"/>
              </w:rPr>
              <w:t>Probability calibration</w:t>
            </w:r>
          </w:p>
        </w:tc>
        <w:tc>
          <w:tcPr>
            <w:tcW w:type="dxa" w:w="1728"/>
            <w:vAlign w:val="center"/>
          </w:tcPr>
          <w:p>
            <w:r>
              <w:rPr>
                <w:rFonts w:ascii="Arial" w:hAnsi="Arial"/>
                <w:sz w:val="16"/>
              </w:rPr>
              <w:t>High</w:t>
            </w:r>
          </w:p>
        </w:tc>
        <w:tc>
          <w:tcPr>
            <w:tcW w:type="dxa" w:w="5904"/>
            <w:vAlign w:val="center"/>
          </w:tcPr>
          <w:p>
            <w:r>
              <w:rPr>
                <w:rFonts w:ascii="Arial" w:hAnsi="Arial"/>
                <w:sz w:val="16"/>
              </w:rPr>
              <w:t>Raw/prop methods and Platt parameters explicit.</w:t>
            </w:r>
          </w:p>
        </w:tc>
      </w:tr>
      <w:tr>
        <w:tc>
          <w:tcPr>
            <w:tcW w:type="dxa" w:w="2160"/>
            <w:vAlign w:val="center"/>
          </w:tcPr>
          <w:p>
            <w:r>
              <w:rPr>
                <w:rFonts w:ascii="Arial" w:hAnsi="Arial"/>
                <w:sz w:val="16"/>
              </w:rPr>
              <w:t>Local feature attribution</w:t>
            </w:r>
          </w:p>
        </w:tc>
        <w:tc>
          <w:tcPr>
            <w:tcW w:type="dxa" w:w="1728"/>
            <w:vAlign w:val="center"/>
          </w:tcPr>
          <w:p>
            <w:r>
              <w:rPr>
                <w:rFonts w:ascii="Arial" w:hAnsi="Arial"/>
                <w:sz w:val="16"/>
              </w:rPr>
              <w:t>Moderate</w:t>
            </w:r>
          </w:p>
        </w:tc>
        <w:tc>
          <w:tcPr>
            <w:tcW w:type="dxa" w:w="5904"/>
            <w:vAlign w:val="center"/>
          </w:tcPr>
          <w:p>
            <w:r>
              <w:rPr>
                <w:rFonts w:ascii="Arial" w:hAnsi="Arial"/>
                <w:sz w:val="16"/>
              </w:rPr>
              <w:t>Explanation tooling exists, but reviewer-grade SHAP/attribution is not a frozen requirement.</w:t>
            </w:r>
          </w:p>
        </w:tc>
      </w:tr>
    </w:tbl>
    <w:p/>
    <w:p>
      <w:pPr>
        <w:pStyle w:val="Heading1"/>
      </w:pPr>
      <w:r>
        <w:t>8. Production governance and packaging</w:t>
      </w:r>
    </w:p>
    <w:p>
      <w:r>
        <w:t>The production freeze hashes model artifacts, source files, scripts, configuration files, and key data/audit artifacts. The external-test deployment is identified as nba_prop_quant_20260818T205213Z. Verification has repeatedly returned zero missing files and zero hash mismatches.</w:t>
      </w:r>
    </w:p>
    <w:p>
      <w:pPr>
        <w:pStyle w:val="ListBullet"/>
        <w:spacing w:after="40"/>
      </w:pPr>
      <w:r>
        <w:t>Frozen production policy is not silently edited.</w:t>
      </w:r>
    </w:p>
    <w:p>
      <w:pPr>
        <w:pStyle w:val="ListBullet"/>
        <w:spacing w:after="40"/>
      </w:pPr>
      <w:r>
        <w:t>2026 current-season data are time-varying inputs, not retraining events.</w:t>
      </w:r>
    </w:p>
    <w:p>
      <w:pPr>
        <w:pStyle w:val="ListBullet"/>
        <w:spacing w:after="40"/>
      </w:pPr>
      <w:r>
        <w:t>Official external captures are immutable and checksum-verified.</w:t>
      </w:r>
    </w:p>
    <w:p>
      <w:pPr>
        <w:pStyle w:val="ListBullet"/>
        <w:spacing w:after="40"/>
      </w:pPr>
      <w:r>
        <w:t>Outcome grading is stored separately from the forecast/market snapshot.</w:t>
      </w:r>
    </w:p>
    <w:p>
      <w:pPr>
        <w:pStyle w:val="ListBullet"/>
        <w:spacing w:after="40"/>
      </w:pPr>
      <w:r>
        <w:t>Synthetic QA and real-2025 grading replay are engineering validation, not prospective performance evidence.</w:t>
      </w:r>
    </w:p>
    <w:p>
      <w:pPr>
        <w:pStyle w:val="ListBullet"/>
        <w:spacing w:after="40"/>
      </w:pPr>
      <w:r>
        <w:t>Secrets such as .env/API keys are excluded from reviewer/packaging bundles.</w:t>
      </w:r>
    </w:p>
    <w:p>
      <w:pPr>
        <w:pStyle w:val="Heading1"/>
      </w:pPr>
      <w:r>
        <w:t>9. Constant-control framework</w:t>
      </w:r>
    </w:p>
    <w:p>
      <w:r>
        <w:t>A complete model package should not rely on manually maintained constant lists. The accompanying packaging utility generates an exhaustive constant register directly from the frozen/local source tree.</w:t>
      </w:r>
    </w:p>
    <w:p>
      <w:r>
        <w:t>The register is designed to include every Python literal occurrence (numeric, string, Boolean, None, collection members), every named/module/class assignment that resolves to a literal, function and method default arguments, argparse defaults and choices, dataclass/class defaults, and configuration/policy leaves from YAML/JSON files. Each record includes file path, line number or configuration path, value type, value, and classification.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456"/>
            <w:shd w:fill="D9EAF7"/>
            <w:vAlign w:val="center"/>
          </w:tcPr>
          <w:p>
            <w:pPr>
              <w:jc w:val="center"/>
            </w:pPr>
            <w:r>
              <w:rPr>
                <w:rFonts w:ascii="Arial" w:hAnsi="Arial"/>
                <w:b/>
                <w:sz w:val="16"/>
              </w:rPr>
              <w:t>Package artifact</w:t>
            </w:r>
          </w:p>
        </w:tc>
        <w:tc>
          <w:tcPr>
            <w:tcW w:type="dxa" w:w="6336"/>
            <w:shd w:fill="D9EAF7"/>
            <w:vAlign w:val="center"/>
          </w:tcPr>
          <w:p>
            <w:pPr>
              <w:jc w:val="center"/>
            </w:pPr>
            <w:r>
              <w:rPr>
                <w:rFonts w:ascii="Arial" w:hAnsi="Arial"/>
                <w:b/>
                <w:sz w:val="16"/>
              </w:rPr>
              <w:t>Purpose</w:t>
            </w:r>
          </w:p>
        </w:tc>
      </w:tr>
      <w:tr>
        <w:tc>
          <w:tcPr>
            <w:tcW w:type="dxa" w:w="3456"/>
            <w:vAlign w:val="center"/>
          </w:tcPr>
          <w:p>
            <w:r>
              <w:rPr>
                <w:rFonts w:ascii="Arial" w:hAnsi="Arial"/>
                <w:sz w:val="16"/>
              </w:rPr>
              <w:t>FULL_CONSTANT_INVENTORY.csv</w:t>
            </w:r>
          </w:p>
        </w:tc>
        <w:tc>
          <w:tcPr>
            <w:tcW w:type="dxa" w:w="6336"/>
            <w:vAlign w:val="center"/>
          </w:tcPr>
          <w:p>
            <w:r>
              <w:rPr>
                <w:rFonts w:ascii="Arial" w:hAnsi="Arial"/>
                <w:sz w:val="16"/>
              </w:rPr>
              <w:t>Every executable Python AST literal occurrence plus source line/context.</w:t>
            </w:r>
          </w:p>
        </w:tc>
      </w:tr>
      <w:tr>
        <w:tc>
          <w:tcPr>
            <w:tcW w:type="dxa" w:w="3456"/>
            <w:vAlign w:val="center"/>
          </w:tcPr>
          <w:p>
            <w:r>
              <w:rPr>
                <w:rFonts w:ascii="Arial" w:hAnsi="Arial"/>
                <w:sz w:val="16"/>
              </w:rPr>
              <w:t>NAMED_CONSTANTS.csv</w:t>
            </w:r>
          </w:p>
        </w:tc>
        <w:tc>
          <w:tcPr>
            <w:tcW w:type="dxa" w:w="6336"/>
            <w:vAlign w:val="center"/>
          </w:tcPr>
          <w:p>
            <w:r>
              <w:rPr>
                <w:rFonts w:ascii="Arial" w:hAnsi="Arial"/>
                <w:sz w:val="16"/>
              </w:rPr>
              <w:t>Module/class assignments, function defaults, argparse defaults/choices.</w:t>
            </w:r>
          </w:p>
        </w:tc>
      </w:tr>
      <w:tr>
        <w:tc>
          <w:tcPr>
            <w:tcW w:type="dxa" w:w="3456"/>
            <w:vAlign w:val="center"/>
          </w:tcPr>
          <w:p>
            <w:r>
              <w:rPr>
                <w:rFonts w:ascii="Arial" w:hAnsi="Arial"/>
                <w:sz w:val="16"/>
              </w:rPr>
              <w:t>CONFIG_CONSTANTS.csv</w:t>
            </w:r>
          </w:p>
        </w:tc>
        <w:tc>
          <w:tcPr>
            <w:tcW w:type="dxa" w:w="6336"/>
            <w:vAlign w:val="center"/>
          </w:tcPr>
          <w:p>
            <w:r>
              <w:rPr>
                <w:rFonts w:ascii="Arial" w:hAnsi="Arial"/>
                <w:sz w:val="16"/>
              </w:rPr>
              <w:t>Leaf values from configs/*.yaml and frozen JSON policy/parameter files.</w:t>
            </w:r>
          </w:p>
        </w:tc>
      </w:tr>
      <w:tr>
        <w:tc>
          <w:tcPr>
            <w:tcW w:type="dxa" w:w="3456"/>
            <w:vAlign w:val="center"/>
          </w:tcPr>
          <w:p>
            <w:r>
              <w:rPr>
                <w:rFonts w:ascii="Arial" w:hAnsi="Arial"/>
                <w:sz w:val="16"/>
              </w:rPr>
              <w:t>FULL_CONSTANT_INVENTORY.json</w:t>
            </w:r>
          </w:p>
        </w:tc>
        <w:tc>
          <w:tcPr>
            <w:tcW w:type="dxa" w:w="6336"/>
            <w:vAlign w:val="center"/>
          </w:tcPr>
          <w:p>
            <w:r>
              <w:rPr>
                <w:rFonts w:ascii="Arial" w:hAnsi="Arial"/>
                <w:sz w:val="16"/>
              </w:rPr>
              <w:t>Machine-readable equivalent with provenance.</w:t>
            </w:r>
          </w:p>
        </w:tc>
      </w:tr>
      <w:tr>
        <w:tc>
          <w:tcPr>
            <w:tcW w:type="dxa" w:w="3456"/>
            <w:vAlign w:val="center"/>
          </w:tcPr>
          <w:p>
            <w:r>
              <w:rPr>
                <w:rFonts w:ascii="Arial" w:hAnsi="Arial"/>
                <w:sz w:val="16"/>
              </w:rPr>
              <w:t>CONSTANT_INVENTORY_SUMMARY.md</w:t>
            </w:r>
          </w:p>
        </w:tc>
        <w:tc>
          <w:tcPr>
            <w:tcW w:type="dxa" w:w="6336"/>
            <w:vAlign w:val="center"/>
          </w:tcPr>
          <w:p>
            <w:r>
              <w:rPr>
                <w:rFonts w:ascii="Arial" w:hAnsi="Arial"/>
                <w:sz w:val="16"/>
              </w:rPr>
              <w:t>Counts by file/type/category and high-impact named constants.</w:t>
            </w:r>
          </w:p>
        </w:tc>
      </w:tr>
    </w:tbl>
    <w:p/>
    <w:p>
      <w:pPr>
        <w:spacing w:before="80" w:after="120"/>
        <w:ind w:left="288" w:right="288"/>
      </w:pPr>
      <w:r>
        <w:rPr>
          <w:i/>
          <w:sz w:val="18"/>
        </w:rPr>
        <w:t>This work paper intentionally does not pretend that a manually typed appendix can be exhaustive. The delivered packager fails closed unless the constant inventory is generated from the actual project source being packaged.</w:t>
      </w:r>
    </w:p>
    <w:p>
      <w:pPr>
        <w:pStyle w:val="Heading1"/>
      </w:pPr>
      <w:r>
        <w:t>10. Known high-impact production constants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shd w:fill="D9EAF7"/>
            <w:vAlign w:val="center"/>
          </w:tcPr>
          <w:p>
            <w:pPr>
              <w:jc w:val="center"/>
            </w:pPr>
            <w:r>
              <w:rPr>
                <w:rFonts w:ascii="Arial" w:hAnsi="Arial"/>
                <w:b/>
                <w:sz w:val="16"/>
              </w:rPr>
              <w:t>Area</w:t>
            </w:r>
          </w:p>
        </w:tc>
        <w:tc>
          <w:tcPr>
            <w:tcW w:type="dxa" w:w="3600"/>
            <w:shd w:fill="D9EAF7"/>
            <w:vAlign w:val="center"/>
          </w:tcPr>
          <w:p>
            <w:pPr>
              <w:jc w:val="center"/>
            </w:pPr>
            <w:r>
              <w:rPr>
                <w:rFonts w:ascii="Arial" w:hAnsi="Arial"/>
                <w:b/>
                <w:sz w:val="16"/>
              </w:rPr>
              <w:t>Constant</w:t>
            </w:r>
          </w:p>
        </w:tc>
        <w:tc>
          <w:tcPr>
            <w:tcW w:type="dxa" w:w="3600"/>
            <w:shd w:fill="D9EAF7"/>
            <w:vAlign w:val="center"/>
          </w:tcPr>
          <w:p>
            <w:pPr>
              <w:jc w:val="center"/>
            </w:pPr>
            <w:r>
              <w:rPr>
                <w:rFonts w:ascii="Arial" w:hAnsi="Arial"/>
                <w:b/>
                <w:sz w:val="16"/>
              </w:rPr>
              <w:t>Frozen/current value</w:t>
            </w:r>
          </w:p>
        </w:tc>
      </w:tr>
      <w:tr>
        <w:tc>
          <w:tcPr>
            <w:tcW w:type="dxa" w:w="2160"/>
            <w:vAlign w:val="center"/>
          </w:tcPr>
          <w:p>
            <w:r>
              <w:rPr>
                <w:rFonts w:ascii="Arial" w:hAnsi="Arial"/>
                <w:sz w:val="16"/>
              </w:rPr>
              <w:t>Settings</w:t>
            </w:r>
          </w:p>
        </w:tc>
        <w:tc>
          <w:tcPr>
            <w:tcW w:type="dxa" w:w="3600"/>
            <w:vAlign w:val="center"/>
          </w:tcPr>
          <w:p>
            <w:r>
              <w:rPr>
                <w:rFonts w:ascii="Arial" w:hAnsi="Arial"/>
                <w:sz w:val="16"/>
              </w:rPr>
              <w:t>BDL request ceiling</w:t>
            </w:r>
          </w:p>
        </w:tc>
        <w:tc>
          <w:tcPr>
            <w:tcW w:type="dxa" w:w="3600"/>
            <w:vAlign w:val="center"/>
          </w:tcPr>
          <w:p>
            <w:r>
              <w:rPr>
                <w:rFonts w:ascii="Arial" w:hAnsi="Arial"/>
                <w:sz w:val="16"/>
              </w:rPr>
              <w:t>600 requests/minute</w:t>
            </w:r>
          </w:p>
        </w:tc>
      </w:tr>
      <w:tr>
        <w:tc>
          <w:tcPr>
            <w:tcW w:type="dxa" w:w="2160"/>
            <w:vAlign w:val="center"/>
          </w:tcPr>
          <w:p>
            <w:r>
              <w:rPr>
                <w:rFonts w:ascii="Arial" w:hAnsi="Arial"/>
                <w:sz w:val="16"/>
              </w:rPr>
              <w:t>Settings</w:t>
            </w:r>
          </w:p>
        </w:tc>
        <w:tc>
          <w:tcPr>
            <w:tcW w:type="dxa" w:w="3600"/>
            <w:vAlign w:val="center"/>
          </w:tcPr>
          <w:p>
            <w:r>
              <w:rPr>
                <w:rFonts w:ascii="Arial" w:hAnsi="Arial"/>
                <w:sz w:val="16"/>
              </w:rPr>
              <w:t>History start season</w:t>
            </w:r>
          </w:p>
        </w:tc>
        <w:tc>
          <w:tcPr>
            <w:tcW w:type="dxa" w:w="3600"/>
            <w:vAlign w:val="center"/>
          </w:tcPr>
          <w:p>
            <w:r>
              <w:rPr>
                <w:rFonts w:ascii="Arial" w:hAnsi="Arial"/>
                <w:sz w:val="16"/>
              </w:rPr>
              <w:t>2001</w:t>
            </w:r>
          </w:p>
        </w:tc>
      </w:tr>
      <w:tr>
        <w:tc>
          <w:tcPr>
            <w:tcW w:type="dxa" w:w="2160"/>
            <w:vAlign w:val="center"/>
          </w:tcPr>
          <w:p>
            <w:r>
              <w:rPr>
                <w:rFonts w:ascii="Arial" w:hAnsi="Arial"/>
                <w:sz w:val="16"/>
              </w:rPr>
              <w:t>Settings</w:t>
            </w:r>
          </w:p>
        </w:tc>
        <w:tc>
          <w:tcPr>
            <w:tcW w:type="dxa" w:w="3600"/>
            <w:vAlign w:val="center"/>
          </w:tcPr>
          <w:p>
            <w:r>
              <w:rPr>
                <w:rFonts w:ascii="Arial" w:hAnsi="Arial"/>
                <w:sz w:val="16"/>
              </w:rPr>
              <w:t>Advanced start season</w:t>
            </w:r>
          </w:p>
        </w:tc>
        <w:tc>
          <w:tcPr>
            <w:tcW w:type="dxa" w:w="3600"/>
            <w:vAlign w:val="center"/>
          </w:tcPr>
          <w:p>
            <w:r>
              <w:rPr>
                <w:rFonts w:ascii="Arial" w:hAnsi="Arial"/>
                <w:sz w:val="16"/>
              </w:rPr>
              <w:t>2015</w:t>
            </w:r>
          </w:p>
        </w:tc>
      </w:tr>
      <w:tr>
        <w:tc>
          <w:tcPr>
            <w:tcW w:type="dxa" w:w="2160"/>
            <w:vAlign w:val="center"/>
          </w:tcPr>
          <w:p>
            <w:r>
              <w:rPr>
                <w:rFonts w:ascii="Arial" w:hAnsi="Arial"/>
                <w:sz w:val="16"/>
              </w:rPr>
              <w:t>Settings</w:t>
            </w:r>
          </w:p>
        </w:tc>
        <w:tc>
          <w:tcPr>
            <w:tcW w:type="dxa" w:w="3600"/>
            <w:vAlign w:val="center"/>
          </w:tcPr>
          <w:p>
            <w:r>
              <w:rPr>
                <w:rFonts w:ascii="Arial" w:hAnsi="Arial"/>
                <w:sz w:val="16"/>
              </w:rPr>
              <w:t>Play-by-play start season</w:t>
            </w:r>
          </w:p>
        </w:tc>
        <w:tc>
          <w:tcPr>
            <w:tcW w:type="dxa" w:w="3600"/>
            <w:vAlign w:val="center"/>
          </w:tcPr>
          <w:p>
            <w:r>
              <w:rPr>
                <w:rFonts w:ascii="Arial" w:hAnsi="Arial"/>
                <w:sz w:val="16"/>
              </w:rPr>
              <w:t>2025</w:t>
            </w:r>
          </w:p>
        </w:tc>
      </w:tr>
      <w:tr>
        <w:tc>
          <w:tcPr>
            <w:tcW w:type="dxa" w:w="2160"/>
            <w:vAlign w:val="center"/>
          </w:tcPr>
          <w:p>
            <w:r>
              <w:rPr>
                <w:rFonts w:ascii="Arial" w:hAnsi="Arial"/>
                <w:sz w:val="16"/>
              </w:rPr>
              <w:t>Experience</w:t>
            </w:r>
          </w:p>
        </w:tc>
        <w:tc>
          <w:tcPr>
            <w:tcW w:type="dxa" w:w="3600"/>
            <w:vAlign w:val="center"/>
          </w:tcPr>
          <w:p>
            <w:r>
              <w:rPr>
                <w:rFonts w:ascii="Arial" w:hAnsi="Arial"/>
                <w:sz w:val="16"/>
              </w:rPr>
              <w:t>n_knots / degree / ridge alpha</w:t>
            </w:r>
          </w:p>
        </w:tc>
        <w:tc>
          <w:tcPr>
            <w:tcW w:type="dxa" w:w="3600"/>
            <w:vAlign w:val="center"/>
          </w:tcPr>
          <w:p>
            <w:r>
              <w:rPr>
                <w:rFonts w:ascii="Arial" w:hAnsi="Arial"/>
                <w:sz w:val="16"/>
              </w:rPr>
              <w:t>6 / 3 / 5.0</w:t>
            </w:r>
          </w:p>
        </w:tc>
      </w:tr>
      <w:tr>
        <w:tc>
          <w:tcPr>
            <w:tcW w:type="dxa" w:w="2160"/>
            <w:vAlign w:val="center"/>
          </w:tcPr>
          <w:p>
            <w:r>
              <w:rPr>
                <w:rFonts w:ascii="Arial" w:hAnsi="Arial"/>
                <w:sz w:val="16"/>
              </w:rPr>
              <w:t>Availability</w:t>
            </w:r>
          </w:p>
        </w:tc>
        <w:tc>
          <w:tcPr>
            <w:tcW w:type="dxa" w:w="3600"/>
            <w:vAlign w:val="center"/>
          </w:tcPr>
          <w:p>
            <w:r>
              <w:rPr>
                <w:rFonts w:ascii="Arial" w:hAnsi="Arial"/>
                <w:sz w:val="16"/>
              </w:rPr>
              <w:t>Current max minutes cap</w:t>
            </w:r>
          </w:p>
        </w:tc>
        <w:tc>
          <w:tcPr>
            <w:tcW w:type="dxa" w:w="3600"/>
            <w:vAlign w:val="center"/>
          </w:tcPr>
          <w:p>
            <w:r>
              <w:rPr>
                <w:rFonts w:ascii="Arial" w:hAnsi="Arial"/>
                <w:sz w:val="16"/>
              </w:rPr>
              <w:t>42.0</w:t>
            </w:r>
          </w:p>
        </w:tc>
      </w:tr>
      <w:tr>
        <w:tc>
          <w:tcPr>
            <w:tcW w:type="dxa" w:w="2160"/>
            <w:vAlign w:val="center"/>
          </w:tcPr>
          <w:p>
            <w:r>
              <w:rPr>
                <w:rFonts w:ascii="Arial" w:hAnsi="Arial"/>
                <w:sz w:val="16"/>
              </w:rPr>
              <w:t>Dependence selection</w:t>
            </w:r>
          </w:p>
        </w:tc>
        <w:tc>
          <w:tcPr>
            <w:tcW w:type="dxa" w:w="3600"/>
            <w:vAlign w:val="center"/>
          </w:tcPr>
          <w:p>
            <w:r>
              <w:rPr>
                <w:rFonts w:ascii="Arial" w:hAnsi="Arial"/>
                <w:sz w:val="16"/>
              </w:rPr>
              <w:t>Minimum CV improvement</w:t>
            </w:r>
          </w:p>
        </w:tc>
        <w:tc>
          <w:tcPr>
            <w:tcW w:type="dxa" w:w="3600"/>
            <w:vAlign w:val="center"/>
          </w:tcPr>
          <w:p>
            <w:r>
              <w:rPr>
                <w:rFonts w:ascii="Arial" w:hAnsi="Arial"/>
                <w:sz w:val="16"/>
              </w:rPr>
              <w:t>0.05%</w:t>
            </w:r>
          </w:p>
        </w:tc>
      </w:tr>
      <w:tr>
        <w:tc>
          <w:tcPr>
            <w:tcW w:type="dxa" w:w="2160"/>
            <w:vAlign w:val="center"/>
          </w:tcPr>
          <w:p>
            <w:r>
              <w:rPr>
                <w:rFonts w:ascii="Arial" w:hAnsi="Arial"/>
                <w:sz w:val="16"/>
              </w:rPr>
              <w:t>Dependence selection</w:t>
            </w:r>
          </w:p>
        </w:tc>
        <w:tc>
          <w:tcPr>
            <w:tcW w:type="dxa" w:w="3600"/>
            <w:vAlign w:val="center"/>
          </w:tcPr>
          <w:p>
            <w:r>
              <w:rPr>
                <w:rFonts w:ascii="Arial" w:hAnsi="Arial"/>
                <w:sz w:val="16"/>
              </w:rPr>
              <w:t>Minimum nonnegative CV folds</w:t>
            </w:r>
          </w:p>
        </w:tc>
        <w:tc>
          <w:tcPr>
            <w:tcW w:type="dxa" w:w="3600"/>
            <w:vAlign w:val="center"/>
          </w:tcPr>
          <w:p>
            <w:r>
              <w:rPr>
                <w:rFonts w:ascii="Arial" w:hAnsi="Arial"/>
                <w:sz w:val="16"/>
              </w:rPr>
              <w:t>4</w:t>
            </w:r>
          </w:p>
        </w:tc>
      </w:tr>
      <w:tr>
        <w:tc>
          <w:tcPr>
            <w:tcW w:type="dxa" w:w="2160"/>
            <w:vAlign w:val="center"/>
          </w:tcPr>
          <w:p>
            <w:r>
              <w:rPr>
                <w:rFonts w:ascii="Arial" w:hAnsi="Arial"/>
                <w:sz w:val="16"/>
              </w:rPr>
              <w:t>Dependence</w:t>
            </w:r>
          </w:p>
        </w:tc>
        <w:tc>
          <w:tcPr>
            <w:tcW w:type="dxa" w:w="3600"/>
            <w:vAlign w:val="center"/>
          </w:tcPr>
          <w:p>
            <w:r>
              <w:rPr>
                <w:rFonts w:ascii="Arial" w:hAnsi="Arial"/>
                <w:sz w:val="16"/>
              </w:rPr>
              <w:t>R+A production lambda</w:t>
            </w:r>
          </w:p>
        </w:tc>
        <w:tc>
          <w:tcPr>
            <w:tcW w:type="dxa" w:w="3600"/>
            <w:vAlign w:val="center"/>
          </w:tcPr>
          <w:p>
            <w:r>
              <w:rPr>
                <w:rFonts w:ascii="Arial" w:hAnsi="Arial"/>
                <w:sz w:val="16"/>
              </w:rPr>
              <w:t>0.85</w:t>
            </w:r>
          </w:p>
        </w:tc>
      </w:tr>
      <w:tr>
        <w:tc>
          <w:tcPr>
            <w:tcW w:type="dxa" w:w="2160"/>
            <w:vAlign w:val="center"/>
          </w:tcPr>
          <w:p>
            <w:r>
              <w:rPr>
                <w:rFonts w:ascii="Arial" w:hAnsi="Arial"/>
                <w:sz w:val="16"/>
              </w:rPr>
              <w:t>Dependence</w:t>
            </w:r>
          </w:p>
        </w:tc>
        <w:tc>
          <w:tcPr>
            <w:tcW w:type="dxa" w:w="3600"/>
            <w:vAlign w:val="center"/>
          </w:tcPr>
          <w:p>
            <w:r>
              <w:rPr>
                <w:rFonts w:ascii="Arial" w:hAnsi="Arial"/>
                <w:sz w:val="16"/>
              </w:rPr>
              <w:t>P+R, P+A, PRA, stocks lambda</w:t>
            </w:r>
          </w:p>
        </w:tc>
        <w:tc>
          <w:tcPr>
            <w:tcW w:type="dxa" w:w="3600"/>
            <w:vAlign w:val="center"/>
          </w:tcPr>
          <w:p>
            <w:r>
              <w:rPr>
                <w:rFonts w:ascii="Arial" w:hAnsi="Arial"/>
                <w:sz w:val="16"/>
              </w:rPr>
              <w:t>0.00</w:t>
            </w:r>
          </w:p>
        </w:tc>
      </w:tr>
      <w:tr>
        <w:tc>
          <w:tcPr>
            <w:tcW w:type="dxa" w:w="2160"/>
            <w:vAlign w:val="center"/>
          </w:tcPr>
          <w:p>
            <w:r>
              <w:rPr>
                <w:rFonts w:ascii="Arial" w:hAnsi="Arial"/>
                <w:sz w:val="16"/>
              </w:rPr>
              <w:t>Monitoring</w:t>
            </w:r>
          </w:p>
        </w:tc>
        <w:tc>
          <w:tcPr>
            <w:tcW w:type="dxa" w:w="3600"/>
            <w:vAlign w:val="center"/>
          </w:tcPr>
          <w:p>
            <w:r>
              <w:rPr>
                <w:rFonts w:ascii="Arial" w:hAnsi="Arial"/>
                <w:sz w:val="16"/>
              </w:rPr>
              <w:t>Edge grid</w:t>
            </w:r>
          </w:p>
        </w:tc>
        <w:tc>
          <w:tcPr>
            <w:tcW w:type="dxa" w:w="3600"/>
            <w:vAlign w:val="center"/>
          </w:tcPr>
          <w:p>
            <w:r>
              <w:rPr>
                <w:rFonts w:ascii="Arial" w:hAnsi="Arial"/>
                <w:sz w:val="16"/>
              </w:rPr>
              <w:t>1%, 2%, 3%, 5%, 7.5%, 10%</w:t>
            </w:r>
          </w:p>
        </w:tc>
      </w:tr>
      <w:tr>
        <w:tc>
          <w:tcPr>
            <w:tcW w:type="dxa" w:w="2160"/>
            <w:vAlign w:val="center"/>
          </w:tcPr>
          <w:p>
            <w:r>
              <w:rPr>
                <w:rFonts w:ascii="Arial" w:hAnsi="Arial"/>
                <w:sz w:val="16"/>
              </w:rPr>
              <w:t>External test</w:t>
            </w:r>
          </w:p>
        </w:tc>
        <w:tc>
          <w:tcPr>
            <w:tcW w:type="dxa" w:w="3600"/>
            <w:vAlign w:val="center"/>
          </w:tcPr>
          <w:p>
            <w:r>
              <w:rPr>
                <w:rFonts w:ascii="Arial" w:hAnsi="Arial"/>
                <w:sz w:val="16"/>
              </w:rPr>
              <w:t>First external season label</w:t>
            </w:r>
          </w:p>
        </w:tc>
        <w:tc>
          <w:tcPr>
            <w:tcW w:type="dxa" w:w="3600"/>
            <w:vAlign w:val="center"/>
          </w:tcPr>
          <w:p>
            <w:r>
              <w:rPr>
                <w:rFonts w:ascii="Arial" w:hAnsi="Arial"/>
                <w:sz w:val="16"/>
              </w:rPr>
              <w:t>2026</w:t>
            </w:r>
          </w:p>
        </w:tc>
      </w:tr>
      <w:tr>
        <w:tc>
          <w:tcPr>
            <w:tcW w:type="dxa" w:w="2160"/>
            <w:vAlign w:val="center"/>
          </w:tcPr>
          <w:p>
            <w:r>
              <w:rPr>
                <w:rFonts w:ascii="Arial" w:hAnsi="Arial"/>
                <w:sz w:val="16"/>
              </w:rPr>
              <w:t>Opening day ops</w:t>
            </w:r>
          </w:p>
        </w:tc>
        <w:tc>
          <w:tcPr>
            <w:tcW w:type="dxa" w:w="3600"/>
            <w:vAlign w:val="center"/>
          </w:tcPr>
          <w:p>
            <w:r>
              <w:rPr>
                <w:rFonts w:ascii="Arial" w:hAnsi="Arial"/>
                <w:sz w:val="16"/>
              </w:rPr>
              <w:t>2026-27 opening date</w:t>
            </w:r>
          </w:p>
        </w:tc>
        <w:tc>
          <w:tcPr>
            <w:tcW w:type="dxa" w:w="3600"/>
            <w:vAlign w:val="center"/>
          </w:tcPr>
          <w:p>
            <w:r>
              <w:rPr>
                <w:rFonts w:ascii="Arial" w:hAnsi="Arial"/>
                <w:sz w:val="16"/>
              </w:rPr>
              <w:t>2026-10-20</w:t>
            </w:r>
          </w:p>
        </w:tc>
      </w:tr>
    </w:tbl>
    <w:p/>
    <w:p>
      <w:r>
        <w:t>The complete register generated by the packager is authoritative for the packaged source tree; this table highlights constants that materially affect production behavior.</w:t>
      </w:r>
    </w:p>
    <w:p>
      <w:pPr>
        <w:pStyle w:val="Heading1"/>
      </w:pPr>
      <w:r>
        <w:t>11. Remaining work before and after first predictive pricing</w:t>
      </w:r>
    </w:p>
    <w:p>
      <w:pPr>
        <w:pStyle w:val="Heading2"/>
      </w:pPr>
      <w:r>
        <w:t>11.1 Required before declaring the live pricing path operational</w:t>
      </w:r>
    </w:p>
    <w:p>
      <w:pPr>
        <w:pStyle w:val="ListNumber"/>
        <w:spacing w:after="40"/>
      </w:pPr>
      <w:r>
        <w:t>Integrate or operationally require the validated read-only current-season refresh preflight before the strict 2026 refresh; do not weaken the strict ingester.</w:t>
      </w:r>
    </w:p>
    <w:p>
      <w:pPr>
        <w:pStyle w:val="ListNumber"/>
        <w:spacing w:after="40"/>
      </w:pPr>
      <w:r>
        <w:t>On the first genuine slate, run the frozen manifest verifier and production-contract validator immediately before pricing.</w:t>
      </w:r>
    </w:p>
    <w:p>
      <w:pPr>
        <w:pStyle w:val="ListNumber"/>
        <w:spacing w:after="40"/>
      </w:pPr>
      <w:r>
        <w:t>Produce the first real nonempty projection file with current games, current injuries, and history strictly preceding the slate.</w:t>
      </w:r>
    </w:p>
    <w:p>
      <w:pPr>
        <w:pStyle w:val="ListNumber"/>
        <w:spacing w:after="40"/>
      </w:pPr>
      <w:r>
        <w:t>Produce the first real nonempty priced_markets parquet and confirm the exact runtime field names for calibrated side, edge, and EV; this closes PASS_WITH_RUNTIME_CONFIRMATION.</w:t>
      </w:r>
    </w:p>
    <w:p>
      <w:pPr>
        <w:pStyle w:val="ListNumber"/>
        <w:spacing w:after="40"/>
      </w:pPr>
      <w:r>
        <w:t>Verify the first live capture archive against checksums and confirm external_test_record is true for priced rows.</w:t>
      </w:r>
    </w:p>
    <w:p>
      <w:pPr>
        <w:pStyle w:val="ListNumber"/>
        <w:spacing w:after="40"/>
      </w:pPr>
      <w:r>
        <w:t>After games finish and completed history is refreshed, grade the capture separately and verify the grade archive.</w:t>
      </w:r>
    </w:p>
    <w:p>
      <w:pPr>
        <w:pStyle w:val="Heading2"/>
      </w:pPr>
      <w:r>
        <w:t>11.2 Required before making a strong capital-deployment / edge claim</w:t>
      </w:r>
    </w:p>
    <w:p>
      <w:pPr>
        <w:pStyle w:val="ListNumber"/>
        <w:spacing w:after="40"/>
      </w:pPr>
      <w:r>
        <w:t>Accumulate a prespecified 2026-27 prospective sample without retuning the frozen model or thresholds from interim results.</w:t>
      </w:r>
    </w:p>
    <w:p>
      <w:pPr>
        <w:pStyle w:val="ListNumber"/>
        <w:spacing w:after="40"/>
      </w:pPr>
      <w:r>
        <w:t>Report proper scoring and ROI with game-clustered uncertainty; do not treat vendor/quote rows as independent observations.</w:t>
      </w:r>
    </w:p>
    <w:p>
      <w:pPr>
        <w:pStyle w:val="ListNumber"/>
        <w:spacing w:after="40"/>
      </w:pPr>
      <w:r>
        <w:t>Add systematic timestamped closing-line-value analysis if the business claim is market superiority rather than merely originative fair pricing.</w:t>
      </w:r>
    </w:p>
    <w:p>
      <w:pPr>
        <w:pStyle w:val="ListNumber"/>
        <w:spacing w:after="40"/>
      </w:pPr>
      <w:r>
        <w:t>Implement explicit sportsbook-specific DNP/void settlement rules if realized book P&amp;L is evaluated.</w:t>
      </w:r>
    </w:p>
    <w:p>
      <w:pPr>
        <w:pStyle w:val="ListNumber"/>
        <w:spacing w:after="40"/>
      </w:pPr>
      <w:r>
        <w:t>Monitor calibration drift, data-source latency, and runtime schema changes with fail-closed alerts.</w:t>
      </w:r>
    </w:p>
    <w:p>
      <w:pPr>
        <w:pStyle w:val="ListNumber"/>
        <w:spacing w:after="40"/>
      </w:pPr>
      <w:r>
        <w:t>Obtain independent expert review before changing the frozen architecture; material changes should create a new deployment ID.</w:t>
      </w:r>
    </w:p>
    <w:p>
      <w:pPr>
        <w:pStyle w:val="Heading1"/>
      </w:pPr>
      <w:r>
        <w:t>12. Model status at work-paper date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760"/>
            <w:shd w:fill="D9EAF7"/>
            <w:vAlign w:val="center"/>
          </w:tcPr>
          <w:p>
            <w:pPr>
              <w:jc w:val="center"/>
            </w:pPr>
            <w:r>
              <w:rPr>
                <w:rFonts w:ascii="Arial" w:hAnsi="Arial"/>
                <w:b/>
                <w:sz w:val="16"/>
              </w:rPr>
              <w:t>Component</w:t>
            </w:r>
          </w:p>
        </w:tc>
        <w:tc>
          <w:tcPr>
            <w:tcW w:type="dxa" w:w="2880"/>
            <w:shd w:fill="D9EAF7"/>
            <w:vAlign w:val="center"/>
          </w:tcPr>
          <w:p>
            <w:pPr>
              <w:jc w:val="center"/>
            </w:pPr>
            <w:r>
              <w:rPr>
                <w:rFonts w:ascii="Arial" w:hAnsi="Arial"/>
                <w:b/>
                <w:sz w:val="16"/>
              </w:rPr>
              <w:t>Status</w:t>
            </w:r>
          </w:p>
        </w:tc>
      </w:tr>
      <w:tr>
        <w:tc>
          <w:tcPr>
            <w:tcW w:type="dxa" w:w="5760"/>
            <w:vAlign w:val="center"/>
          </w:tcPr>
          <w:p>
            <w:r>
              <w:rPr>
                <w:rFonts w:ascii="Arial" w:hAnsi="Arial"/>
                <w:sz w:val="16"/>
              </w:rPr>
              <w:t>Frozen statistical architecture</w:t>
            </w:r>
          </w:p>
        </w:tc>
        <w:tc>
          <w:tcPr>
            <w:tcW w:type="dxa" w:w="2880"/>
            <w:vAlign w:val="center"/>
          </w:tcPr>
          <w:p>
            <w:r>
              <w:rPr>
                <w:rFonts w:ascii="Arial" w:hAnsi="Arial"/>
                <w:sz w:val="16"/>
              </w:rPr>
              <w:t>Complete</w:t>
            </w:r>
          </w:p>
        </w:tc>
      </w:tr>
      <w:tr>
        <w:tc>
          <w:tcPr>
            <w:tcW w:type="dxa" w:w="5760"/>
            <w:vAlign w:val="center"/>
          </w:tcPr>
          <w:p>
            <w:r>
              <w:rPr>
                <w:rFonts w:ascii="Arial" w:hAnsi="Arial"/>
                <w:sz w:val="16"/>
              </w:rPr>
              <w:t>Walk-forward mean validation</w:t>
            </w:r>
          </w:p>
        </w:tc>
        <w:tc>
          <w:tcPr>
            <w:tcW w:type="dxa" w:w="2880"/>
            <w:vAlign w:val="center"/>
          </w:tcPr>
          <w:p>
            <w:r>
              <w:rPr>
                <w:rFonts w:ascii="Arial" w:hAnsi="Arial"/>
                <w:sz w:val="16"/>
              </w:rPr>
              <w:t>Complete</w:t>
            </w:r>
          </w:p>
        </w:tc>
      </w:tr>
      <w:tr>
        <w:tc>
          <w:tcPr>
            <w:tcW w:type="dxa" w:w="5760"/>
            <w:vAlign w:val="center"/>
          </w:tcPr>
          <w:p>
            <w:r>
              <w:rPr>
                <w:rFonts w:ascii="Arial" w:hAnsi="Arial"/>
                <w:sz w:val="16"/>
              </w:rPr>
              <w:t>Mean-preserving marginal selection</w:t>
            </w:r>
          </w:p>
        </w:tc>
        <w:tc>
          <w:tcPr>
            <w:tcW w:type="dxa" w:w="2880"/>
            <w:vAlign w:val="center"/>
          </w:tcPr>
          <w:p>
            <w:r>
              <w:rPr>
                <w:rFonts w:ascii="Arial" w:hAnsi="Arial"/>
                <w:sz w:val="16"/>
              </w:rPr>
              <w:t>Complete</w:t>
            </w:r>
          </w:p>
        </w:tc>
      </w:tr>
      <w:tr>
        <w:tc>
          <w:tcPr>
            <w:tcW w:type="dxa" w:w="5760"/>
            <w:vAlign w:val="center"/>
          </w:tcPr>
          <w:p>
            <w:r>
              <w:rPr>
                <w:rFonts w:ascii="Arial" w:hAnsi="Arial"/>
                <w:sz w:val="16"/>
              </w:rPr>
              <w:t>Dependence policy</w:t>
            </w:r>
          </w:p>
        </w:tc>
        <w:tc>
          <w:tcPr>
            <w:tcW w:type="dxa" w:w="2880"/>
            <w:vAlign w:val="center"/>
          </w:tcPr>
          <w:p>
            <w:r>
              <w:rPr>
                <w:rFonts w:ascii="Arial" w:hAnsi="Arial"/>
                <w:sz w:val="16"/>
              </w:rPr>
              <w:t>Complete</w:t>
            </w:r>
          </w:p>
        </w:tc>
      </w:tr>
      <w:tr>
        <w:tc>
          <w:tcPr>
            <w:tcW w:type="dxa" w:w="5760"/>
            <w:vAlign w:val="center"/>
          </w:tcPr>
          <w:p>
            <w:r>
              <w:rPr>
                <w:rFonts w:ascii="Arial" w:hAnsi="Arial"/>
                <w:sz w:val="16"/>
              </w:rPr>
              <w:t>Strict-date probability calibration</w:t>
            </w:r>
          </w:p>
        </w:tc>
        <w:tc>
          <w:tcPr>
            <w:tcW w:type="dxa" w:w="2880"/>
            <w:vAlign w:val="center"/>
          </w:tcPr>
          <w:p>
            <w:r>
              <w:rPr>
                <w:rFonts w:ascii="Arial" w:hAnsi="Arial"/>
                <w:sz w:val="16"/>
              </w:rPr>
              <w:t>Complete</w:t>
            </w:r>
          </w:p>
        </w:tc>
      </w:tr>
      <w:tr>
        <w:tc>
          <w:tcPr>
            <w:tcW w:type="dxa" w:w="5760"/>
            <w:vAlign w:val="center"/>
          </w:tcPr>
          <w:p>
            <w:r>
              <w:rPr>
                <w:rFonts w:ascii="Arial" w:hAnsi="Arial"/>
                <w:sz w:val="16"/>
              </w:rPr>
              <w:t>2025 development market backtest</w:t>
            </w:r>
          </w:p>
        </w:tc>
        <w:tc>
          <w:tcPr>
            <w:tcW w:type="dxa" w:w="2880"/>
            <w:vAlign w:val="center"/>
          </w:tcPr>
          <w:p>
            <w:r>
              <w:rPr>
                <w:rFonts w:ascii="Arial" w:hAnsi="Arial"/>
                <w:sz w:val="16"/>
              </w:rPr>
              <w:t>Complete</w:t>
            </w:r>
          </w:p>
        </w:tc>
      </w:tr>
      <w:tr>
        <w:tc>
          <w:tcPr>
            <w:tcW w:type="dxa" w:w="5760"/>
            <w:vAlign w:val="center"/>
          </w:tcPr>
          <w:p>
            <w:r>
              <w:rPr>
                <w:rFonts w:ascii="Arial" w:hAnsi="Arial"/>
                <w:sz w:val="16"/>
              </w:rPr>
              <w:t>Immutable capture/grading infrastructure</w:t>
            </w:r>
          </w:p>
        </w:tc>
        <w:tc>
          <w:tcPr>
            <w:tcW w:type="dxa" w:w="2880"/>
            <w:vAlign w:val="center"/>
          </w:tcPr>
          <w:p>
            <w:r>
              <w:rPr>
                <w:rFonts w:ascii="Arial" w:hAnsi="Arial"/>
                <w:sz w:val="16"/>
              </w:rPr>
              <w:t>Complete</w:t>
            </w:r>
          </w:p>
        </w:tc>
      </w:tr>
      <w:tr>
        <w:tc>
          <w:tcPr>
            <w:tcW w:type="dxa" w:w="5760"/>
            <w:vAlign w:val="center"/>
          </w:tcPr>
          <w:p>
            <w:r>
              <w:rPr>
                <w:rFonts w:ascii="Arial" w:hAnsi="Arial"/>
                <w:sz w:val="16"/>
              </w:rPr>
              <w:t>Synthetic grading integration QA</w:t>
            </w:r>
          </w:p>
        </w:tc>
        <w:tc>
          <w:tcPr>
            <w:tcW w:type="dxa" w:w="2880"/>
            <w:vAlign w:val="center"/>
          </w:tcPr>
          <w:p>
            <w:r>
              <w:rPr>
                <w:rFonts w:ascii="Arial" w:hAnsi="Arial"/>
                <w:sz w:val="16"/>
              </w:rPr>
              <w:t>PASS</w:t>
            </w:r>
          </w:p>
        </w:tc>
      </w:tr>
      <w:tr>
        <w:tc>
          <w:tcPr>
            <w:tcW w:type="dxa" w:w="5760"/>
            <w:vAlign w:val="center"/>
          </w:tcPr>
          <w:p>
            <w:r>
              <w:rPr>
                <w:rFonts w:ascii="Arial" w:hAnsi="Arial"/>
                <w:sz w:val="16"/>
              </w:rPr>
              <w:t>Real 2025 grading replay</w:t>
            </w:r>
          </w:p>
        </w:tc>
        <w:tc>
          <w:tcPr>
            <w:tcW w:type="dxa" w:w="2880"/>
            <w:vAlign w:val="center"/>
          </w:tcPr>
          <w:p>
            <w:r>
              <w:rPr>
                <w:rFonts w:ascii="Arial" w:hAnsi="Arial"/>
                <w:sz w:val="16"/>
              </w:rPr>
              <w:t>PASS</w:t>
            </w:r>
          </w:p>
        </w:tc>
      </w:tr>
      <w:tr>
        <w:tc>
          <w:tcPr>
            <w:tcW w:type="dxa" w:w="5760"/>
            <w:vAlign w:val="center"/>
          </w:tcPr>
          <w:p>
            <w:r>
              <w:rPr>
                <w:rFonts w:ascii="Arial" w:hAnsi="Arial"/>
                <w:sz w:val="16"/>
              </w:rPr>
              <w:t>Current-season read-only preflight</w:t>
            </w:r>
          </w:p>
        </w:tc>
        <w:tc>
          <w:tcPr>
            <w:tcW w:type="dxa" w:w="2880"/>
            <w:vAlign w:val="center"/>
          </w:tcPr>
          <w:p>
            <w:r>
              <w:rPr>
                <w:rFonts w:ascii="Arial" w:hAnsi="Arial"/>
                <w:sz w:val="16"/>
              </w:rPr>
              <w:t>Validated preseason block</w:t>
            </w:r>
          </w:p>
        </w:tc>
      </w:tr>
      <w:tr>
        <w:tc>
          <w:tcPr>
            <w:tcW w:type="dxa" w:w="5760"/>
            <w:vAlign w:val="center"/>
          </w:tcPr>
          <w:p>
            <w:r>
              <w:rPr>
                <w:rFonts w:ascii="Arial" w:hAnsi="Arial"/>
                <w:sz w:val="16"/>
              </w:rPr>
              <w:t>First real live priced slate</w:t>
            </w:r>
          </w:p>
        </w:tc>
        <w:tc>
          <w:tcPr>
            <w:tcW w:type="dxa" w:w="2880"/>
            <w:vAlign w:val="center"/>
          </w:tcPr>
          <w:p>
            <w:r>
              <w:rPr>
                <w:rFonts w:ascii="Arial" w:hAnsi="Arial"/>
                <w:sz w:val="16"/>
              </w:rPr>
              <w:t>Pending</w:t>
            </w:r>
          </w:p>
        </w:tc>
      </w:tr>
      <w:tr>
        <w:tc>
          <w:tcPr>
            <w:tcW w:type="dxa" w:w="5760"/>
            <w:vAlign w:val="center"/>
          </w:tcPr>
          <w:p>
            <w:r>
              <w:rPr>
                <w:rFonts w:ascii="Arial" w:hAnsi="Arial"/>
                <w:sz w:val="16"/>
              </w:rPr>
              <w:t>First prospective 2026-27 external evidence</w:t>
            </w:r>
          </w:p>
        </w:tc>
        <w:tc>
          <w:tcPr>
            <w:tcW w:type="dxa" w:w="2880"/>
            <w:vAlign w:val="center"/>
          </w:tcPr>
          <w:p>
            <w:r>
              <w:rPr>
                <w:rFonts w:ascii="Arial" w:hAnsi="Arial"/>
                <w:sz w:val="16"/>
              </w:rPr>
              <w:t>Pending</w:t>
            </w:r>
          </w:p>
        </w:tc>
      </w:tr>
      <w:tr>
        <w:tc>
          <w:tcPr>
            <w:tcW w:type="dxa" w:w="5760"/>
            <w:vAlign w:val="center"/>
          </w:tcPr>
          <w:p>
            <w:r>
              <w:rPr>
                <w:rFonts w:ascii="Arial" w:hAnsi="Arial"/>
                <w:sz w:val="16"/>
              </w:rPr>
              <w:t>Automatic betting threshold</w:t>
            </w:r>
          </w:p>
        </w:tc>
        <w:tc>
          <w:tcPr>
            <w:tcW w:type="dxa" w:w="2880"/>
            <w:vAlign w:val="center"/>
          </w:tcPr>
          <w:p>
            <w:r>
              <w:rPr>
                <w:rFonts w:ascii="Arial" w:hAnsi="Arial"/>
                <w:sz w:val="16"/>
              </w:rPr>
              <w:t>Not selected by design</w:t>
            </w:r>
          </w:p>
        </w:tc>
      </w:tr>
    </w:tbl>
    <w:p/>
    <w:p>
      <w:pPr>
        <w:pStyle w:val="Heading1"/>
      </w:pPr>
      <w:r>
        <w:t>13. Reproducibility and package acceptance</w:t>
      </w:r>
    </w:p>
    <w:p>
      <w:r>
        <w:t>A production model package should be accepted only if the frozen manifest verifies, the production contract validates, all packaged files hash correctly, the constant inventory completes without parse failures, and no secret files are included.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312"/>
            <w:shd w:fill="D9EAF7"/>
            <w:vAlign w:val="center"/>
          </w:tcPr>
          <w:p>
            <w:pPr>
              <w:jc w:val="center"/>
            </w:pPr>
            <w:r>
              <w:rPr>
                <w:rFonts w:ascii="Arial" w:hAnsi="Arial"/>
                <w:b/>
                <w:sz w:val="16"/>
              </w:rPr>
              <w:t>Acceptance gate</w:t>
            </w:r>
          </w:p>
        </w:tc>
        <w:tc>
          <w:tcPr>
            <w:tcW w:type="dxa" w:w="6624"/>
            <w:shd w:fill="D9EAF7"/>
            <w:vAlign w:val="center"/>
          </w:tcPr>
          <w:p>
            <w:pPr>
              <w:jc w:val="center"/>
            </w:pPr>
            <w:r>
              <w:rPr>
                <w:rFonts w:ascii="Arial" w:hAnsi="Arial"/>
                <w:b/>
                <w:sz w:val="16"/>
              </w:rPr>
              <w:t>Required condition</w:t>
            </w:r>
          </w:p>
        </w:tc>
      </w:tr>
      <w:tr>
        <w:tc>
          <w:tcPr>
            <w:tcW w:type="dxa" w:w="3312"/>
            <w:vAlign w:val="center"/>
          </w:tcPr>
          <w:p>
            <w:r>
              <w:rPr>
                <w:rFonts w:ascii="Arial" w:hAnsi="Arial"/>
                <w:sz w:val="16"/>
              </w:rPr>
              <w:t>Frozen manifest</w:t>
            </w:r>
          </w:p>
        </w:tc>
        <w:tc>
          <w:tcPr>
            <w:tcW w:type="dxa" w:w="6624"/>
            <w:vAlign w:val="center"/>
          </w:tcPr>
          <w:p>
            <w:r>
              <w:rPr>
                <w:rFonts w:ascii="Arial" w:hAnsi="Arial"/>
                <w:sz w:val="16"/>
              </w:rPr>
              <w:t>0 missing; 0 hash mismatches</w:t>
            </w:r>
          </w:p>
        </w:tc>
      </w:tr>
      <w:tr>
        <w:tc>
          <w:tcPr>
            <w:tcW w:type="dxa" w:w="3312"/>
            <w:vAlign w:val="center"/>
          </w:tcPr>
          <w:p>
            <w:r>
              <w:rPr>
                <w:rFonts w:ascii="Arial" w:hAnsi="Arial"/>
                <w:sz w:val="16"/>
              </w:rPr>
              <w:t>Production contract</w:t>
            </w:r>
          </w:p>
        </w:tc>
        <w:tc>
          <w:tcPr>
            <w:tcW w:type="dxa" w:w="6624"/>
            <w:vAlign w:val="center"/>
          </w:tcPr>
          <w:p>
            <w:r>
              <w:rPr>
                <w:rFonts w:ascii="Arial" w:hAnsi="Arial"/>
                <w:sz w:val="16"/>
              </w:rPr>
              <w:t>Exact selected means/marginals/dependence/calibration policy coherent</w:t>
            </w:r>
          </w:p>
        </w:tc>
      </w:tr>
      <w:tr>
        <w:tc>
          <w:tcPr>
            <w:tcW w:type="dxa" w:w="3312"/>
            <w:vAlign w:val="center"/>
          </w:tcPr>
          <w:p>
            <w:r>
              <w:rPr>
                <w:rFonts w:ascii="Arial" w:hAnsi="Arial"/>
                <w:sz w:val="16"/>
              </w:rPr>
              <w:t>Package hashes</w:t>
            </w:r>
          </w:p>
        </w:tc>
        <w:tc>
          <w:tcPr>
            <w:tcW w:type="dxa" w:w="6624"/>
            <w:vAlign w:val="center"/>
          </w:tcPr>
          <w:p>
            <w:r>
              <w:rPr>
                <w:rFonts w:ascii="Arial" w:hAnsi="Arial"/>
                <w:sz w:val="16"/>
              </w:rPr>
              <w:t>Every copied file matches source SHA-256</w:t>
            </w:r>
          </w:p>
        </w:tc>
      </w:tr>
      <w:tr>
        <w:tc>
          <w:tcPr>
            <w:tcW w:type="dxa" w:w="3312"/>
            <w:vAlign w:val="center"/>
          </w:tcPr>
          <w:p>
            <w:r>
              <w:rPr>
                <w:rFonts w:ascii="Arial" w:hAnsi="Arial"/>
                <w:sz w:val="16"/>
              </w:rPr>
              <w:t>Constant inventory</w:t>
            </w:r>
          </w:p>
        </w:tc>
        <w:tc>
          <w:tcPr>
            <w:tcW w:type="dxa" w:w="6624"/>
            <w:vAlign w:val="center"/>
          </w:tcPr>
          <w:p>
            <w:r>
              <w:rPr>
                <w:rFonts w:ascii="Arial" w:hAnsi="Arial"/>
                <w:sz w:val="16"/>
              </w:rPr>
              <w:t>All Python files parsed or explicitly listed as failures; zero silent omissions</w:t>
            </w:r>
          </w:p>
        </w:tc>
      </w:tr>
      <w:tr>
        <w:tc>
          <w:tcPr>
            <w:tcW w:type="dxa" w:w="3312"/>
            <w:vAlign w:val="center"/>
          </w:tcPr>
          <w:p>
            <w:r>
              <w:rPr>
                <w:rFonts w:ascii="Arial" w:hAnsi="Arial"/>
                <w:sz w:val="16"/>
              </w:rPr>
              <w:t>Secrets</w:t>
            </w:r>
          </w:p>
        </w:tc>
        <w:tc>
          <w:tcPr>
            <w:tcW w:type="dxa" w:w="6624"/>
            <w:vAlign w:val="center"/>
          </w:tcPr>
          <w:p>
            <w:r>
              <w:rPr>
                <w:rFonts w:ascii="Arial" w:hAnsi="Arial"/>
                <w:sz w:val="16"/>
              </w:rPr>
              <w:t>.env/API keys excluded</w:t>
            </w:r>
          </w:p>
        </w:tc>
      </w:tr>
      <w:tr>
        <w:tc>
          <w:tcPr>
            <w:tcW w:type="dxa" w:w="3312"/>
            <w:vAlign w:val="center"/>
          </w:tcPr>
          <w:p>
            <w:r>
              <w:rPr>
                <w:rFonts w:ascii="Arial" w:hAnsi="Arial"/>
                <w:sz w:val="16"/>
              </w:rPr>
              <w:t>Work paper</w:t>
            </w:r>
          </w:p>
        </w:tc>
        <w:tc>
          <w:tcPr>
            <w:tcW w:type="dxa" w:w="6624"/>
            <w:vAlign w:val="center"/>
          </w:tcPr>
          <w:p>
            <w:r>
              <w:rPr>
                <w:rFonts w:ascii="Arial" w:hAnsi="Arial"/>
                <w:sz w:val="16"/>
              </w:rPr>
              <w:t>Included with package</w:t>
            </w:r>
          </w:p>
        </w:tc>
      </w:tr>
    </w:tbl>
    <w:p/>
    <w:p>
      <w:pPr>
        <w:pStyle w:val="Heading1"/>
      </w:pPr>
      <w:r>
        <w:t>Appendix A. Backtest interpretation</w:t>
      </w:r>
    </w:p>
    <w:p>
      <w:r>
        <w:t>The 2025 market sample does not establish a broad sportsbook edge. The selected calibration almost closes the proper-scoring gap to the market, and steals outperformed the market in the available development sample, but the aggregate difference remains small and the game-clustered ROI confidence intervals around the 3% development rule cross zero. Therefore the model is best described as a pricing-ready research/production candidate awaiting prospective external validation.</w:t>
      </w:r>
    </w:p>
    <w:p>
      <w:pPr>
        <w:pStyle w:val="Heading1"/>
      </w:pPr>
      <w:r>
        <w:t>Appendix B. Constant register requirement</w:t>
      </w:r>
    </w:p>
    <w:p>
      <w:r>
        <w:t>The authoritative exhaustive constant inventory must be generated from the exact source tree that is packaged. The accompanying packaging bundle produces line-level Python-literal, named/default, and configuration-leaf inventories. Those files are part of the work-paper evidence package and should be retained beside this document.</w:t>
      </w:r>
    </w:p>
    <w:p>
      <w:pPr>
        <w:pStyle w:val="Heading1"/>
      </w:pPr>
      <w:r>
        <w:t>Appendix C. Frozen production policy summary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744"/>
            <w:shd w:fill="D9EAF7"/>
            <w:vAlign w:val="center"/>
          </w:tcPr>
          <w:p>
            <w:pPr>
              <w:jc w:val="center"/>
            </w:pPr>
            <w:r>
              <w:rPr>
                <w:rFonts w:ascii="Arial" w:hAnsi="Arial"/>
                <w:b/>
                <w:sz w:val="16"/>
              </w:rPr>
              <w:t>Policy item</w:t>
            </w:r>
          </w:p>
        </w:tc>
        <w:tc>
          <w:tcPr>
            <w:tcW w:type="dxa" w:w="5328"/>
            <w:shd w:fill="D9EAF7"/>
            <w:vAlign w:val="center"/>
          </w:tcPr>
          <w:p>
            <w:pPr>
              <w:jc w:val="center"/>
            </w:pPr>
            <w:r>
              <w:rPr>
                <w:rFonts w:ascii="Arial" w:hAnsi="Arial"/>
                <w:b/>
                <w:sz w:val="16"/>
              </w:rPr>
              <w:t>Frozen value</w:t>
            </w:r>
          </w:p>
        </w:tc>
      </w:tr>
      <w:tr>
        <w:tc>
          <w:tcPr>
            <w:tcW w:type="dxa" w:w="3744"/>
            <w:vAlign w:val="center"/>
          </w:tcPr>
          <w:p>
            <w:r>
              <w:rPr>
                <w:rFonts w:ascii="Arial" w:hAnsi="Arial"/>
                <w:sz w:val="16"/>
              </w:rPr>
              <w:t>Mean: PTS</w:t>
            </w:r>
          </w:p>
        </w:tc>
        <w:tc>
          <w:tcPr>
            <w:tcW w:type="dxa" w:w="5328"/>
            <w:vAlign w:val="center"/>
          </w:tcPr>
          <w:p>
            <w:r>
              <w:rPr>
                <w:rFonts w:ascii="Arial" w:hAnsi="Arial"/>
                <w:sz w:val="16"/>
              </w:rPr>
              <w:t>XGB</w:t>
            </w:r>
          </w:p>
        </w:tc>
      </w:tr>
      <w:tr>
        <w:tc>
          <w:tcPr>
            <w:tcW w:type="dxa" w:w="3744"/>
            <w:vAlign w:val="center"/>
          </w:tcPr>
          <w:p>
            <w:r>
              <w:rPr>
                <w:rFonts w:ascii="Arial" w:hAnsi="Arial"/>
                <w:sz w:val="16"/>
              </w:rPr>
              <w:t>Mean: REB</w:t>
            </w:r>
          </w:p>
        </w:tc>
        <w:tc>
          <w:tcPr>
            <w:tcW w:type="dxa" w:w="5328"/>
            <w:vAlign w:val="center"/>
          </w:tcPr>
          <w:p>
            <w:r>
              <w:rPr>
                <w:rFonts w:ascii="Arial" w:hAnsi="Arial"/>
                <w:sz w:val="16"/>
              </w:rPr>
              <w:t>Ensemble</w:t>
            </w:r>
          </w:p>
        </w:tc>
      </w:tr>
      <w:tr>
        <w:tc>
          <w:tcPr>
            <w:tcW w:type="dxa" w:w="3744"/>
            <w:vAlign w:val="center"/>
          </w:tcPr>
          <w:p>
            <w:r>
              <w:rPr>
                <w:rFonts w:ascii="Arial" w:hAnsi="Arial"/>
                <w:sz w:val="16"/>
              </w:rPr>
              <w:t>Mean: AST</w:t>
            </w:r>
          </w:p>
        </w:tc>
        <w:tc>
          <w:tcPr>
            <w:tcW w:type="dxa" w:w="5328"/>
            <w:vAlign w:val="center"/>
          </w:tcPr>
          <w:p>
            <w:r>
              <w:rPr>
                <w:rFonts w:ascii="Arial" w:hAnsi="Arial"/>
                <w:sz w:val="16"/>
              </w:rPr>
              <w:t>XGB</w:t>
            </w:r>
          </w:p>
        </w:tc>
      </w:tr>
      <w:tr>
        <w:tc>
          <w:tcPr>
            <w:tcW w:type="dxa" w:w="3744"/>
            <w:vAlign w:val="center"/>
          </w:tcPr>
          <w:p>
            <w:r>
              <w:rPr>
                <w:rFonts w:ascii="Arial" w:hAnsi="Arial"/>
                <w:sz w:val="16"/>
              </w:rPr>
              <w:t>Mean: STL</w:t>
            </w:r>
          </w:p>
        </w:tc>
        <w:tc>
          <w:tcPr>
            <w:tcW w:type="dxa" w:w="5328"/>
            <w:vAlign w:val="center"/>
          </w:tcPr>
          <w:p>
            <w:r>
              <w:rPr>
                <w:rFonts w:ascii="Arial" w:hAnsi="Arial"/>
                <w:sz w:val="16"/>
              </w:rPr>
              <w:t>XGB</w:t>
            </w:r>
          </w:p>
        </w:tc>
      </w:tr>
      <w:tr>
        <w:tc>
          <w:tcPr>
            <w:tcW w:type="dxa" w:w="3744"/>
            <w:vAlign w:val="center"/>
          </w:tcPr>
          <w:p>
            <w:r>
              <w:rPr>
                <w:rFonts w:ascii="Arial" w:hAnsi="Arial"/>
                <w:sz w:val="16"/>
              </w:rPr>
              <w:t>Mean: BLK</w:t>
            </w:r>
          </w:p>
        </w:tc>
        <w:tc>
          <w:tcPr>
            <w:tcW w:type="dxa" w:w="5328"/>
            <w:vAlign w:val="center"/>
          </w:tcPr>
          <w:p>
            <w:r>
              <w:rPr>
                <w:rFonts w:ascii="Arial" w:hAnsi="Arial"/>
                <w:sz w:val="16"/>
              </w:rPr>
              <w:t>Ensemble</w:t>
            </w:r>
          </w:p>
        </w:tc>
      </w:tr>
      <w:tr>
        <w:tc>
          <w:tcPr>
            <w:tcW w:type="dxa" w:w="3744"/>
            <w:vAlign w:val="center"/>
          </w:tcPr>
          <w:p>
            <w:r>
              <w:rPr>
                <w:rFonts w:ascii="Arial" w:hAnsi="Arial"/>
                <w:sz w:val="16"/>
              </w:rPr>
              <w:t>Mean: FG3M</w:t>
            </w:r>
          </w:p>
        </w:tc>
        <w:tc>
          <w:tcPr>
            <w:tcW w:type="dxa" w:w="5328"/>
            <w:vAlign w:val="center"/>
          </w:tcPr>
          <w:p>
            <w:r>
              <w:rPr>
                <w:rFonts w:ascii="Arial" w:hAnsi="Arial"/>
                <w:sz w:val="16"/>
              </w:rPr>
              <w:t>XGB</w:t>
            </w:r>
          </w:p>
        </w:tc>
      </w:tr>
      <w:tr>
        <w:tc>
          <w:tcPr>
            <w:tcW w:type="dxa" w:w="3744"/>
            <w:vAlign w:val="center"/>
          </w:tcPr>
          <w:p>
            <w:r>
              <w:rPr>
                <w:rFonts w:ascii="Arial" w:hAnsi="Arial"/>
                <w:sz w:val="16"/>
              </w:rPr>
              <w:t>Marginals</w:t>
            </w:r>
          </w:p>
        </w:tc>
        <w:tc>
          <w:tcPr>
            <w:tcW w:type="dxa" w:w="5328"/>
            <w:vAlign w:val="center"/>
          </w:tcPr>
          <w:p>
            <w:r>
              <w:rPr>
                <w:rFonts w:ascii="Arial" w:hAnsi="Arial"/>
                <w:sz w:val="16"/>
              </w:rPr>
              <w:t>ZINB for all six targets</w:t>
            </w:r>
          </w:p>
        </w:tc>
      </w:tr>
      <w:tr>
        <w:tc>
          <w:tcPr>
            <w:tcW w:type="dxa" w:w="3744"/>
            <w:vAlign w:val="center"/>
          </w:tcPr>
          <w:p>
            <w:r>
              <w:rPr>
                <w:rFonts w:ascii="Arial" w:hAnsi="Arial"/>
                <w:sz w:val="16"/>
              </w:rPr>
              <w:t>Combo dependence</w:t>
            </w:r>
          </w:p>
        </w:tc>
        <w:tc>
          <w:tcPr>
            <w:tcW w:type="dxa" w:w="5328"/>
            <w:vAlign w:val="center"/>
          </w:tcPr>
          <w:p>
            <w:r>
              <w:rPr>
                <w:rFonts w:ascii="Arial" w:hAnsi="Arial"/>
                <w:sz w:val="16"/>
              </w:rPr>
              <w:t>R+A 0.85; all other supported combos 0.00</w:t>
            </w:r>
          </w:p>
        </w:tc>
      </w:tr>
      <w:tr>
        <w:tc>
          <w:tcPr>
            <w:tcW w:type="dxa" w:w="3744"/>
            <w:vAlign w:val="center"/>
          </w:tcPr>
          <w:p>
            <w:r>
              <w:rPr>
                <w:rFonts w:ascii="Arial" w:hAnsi="Arial"/>
                <w:sz w:val="16"/>
              </w:rPr>
              <w:t>Calibration</w:t>
            </w:r>
          </w:p>
        </w:tc>
        <w:tc>
          <w:tcPr>
            <w:tcW w:type="dxa" w:w="5328"/>
            <w:vAlign w:val="center"/>
          </w:tcPr>
          <w:p>
            <w:r>
              <w:rPr>
                <w:rFonts w:ascii="Arial" w:hAnsi="Arial"/>
                <w:sz w:val="16"/>
              </w:rPr>
              <w:t>Prop-specific except blocks and steals raw</w:t>
            </w:r>
          </w:p>
        </w:tc>
      </w:tr>
      <w:tr>
        <w:tc>
          <w:tcPr>
            <w:tcW w:type="dxa" w:w="3744"/>
            <w:vAlign w:val="center"/>
          </w:tcPr>
          <w:p>
            <w:r>
              <w:rPr>
                <w:rFonts w:ascii="Arial" w:hAnsi="Arial"/>
                <w:sz w:val="16"/>
              </w:rPr>
              <w:t>Betting threshold</w:t>
            </w:r>
          </w:p>
        </w:tc>
        <w:tc>
          <w:tcPr>
            <w:tcW w:type="dxa" w:w="5328"/>
            <w:vAlign w:val="center"/>
          </w:tcPr>
          <w:p>
            <w:r>
              <w:rPr>
                <w:rFonts w:ascii="Arial" w:hAnsi="Arial"/>
                <w:sz w:val="16"/>
              </w:rPr>
              <w:t>None frozen</w:t>
            </w:r>
          </w:p>
        </w:tc>
      </w:tr>
      <w:tr>
        <w:tc>
          <w:tcPr>
            <w:tcW w:type="dxa" w:w="3744"/>
            <w:vAlign w:val="center"/>
          </w:tcPr>
          <w:p>
            <w:r>
              <w:rPr>
                <w:rFonts w:ascii="Arial" w:hAnsi="Arial"/>
                <w:sz w:val="16"/>
              </w:rPr>
              <w:t>Monitoring grid</w:t>
            </w:r>
          </w:p>
        </w:tc>
        <w:tc>
          <w:tcPr>
            <w:tcW w:type="dxa" w:w="5328"/>
            <w:vAlign w:val="center"/>
          </w:tcPr>
          <w:p>
            <w:r>
              <w:rPr>
                <w:rFonts w:ascii="Arial" w:hAnsi="Arial"/>
                <w:sz w:val="16"/>
              </w:rPr>
              <w:t>1%, 2%, 3%, 5%, 7.5%, 10%</w:t>
            </w:r>
          </w:p>
        </w:tc>
      </w:tr>
    </w:tbl>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5"/>
      </w:rPr>
      <w:t>Frozen deployment: nba_prop_quant_20260818T205213Z | Prepared 2026-08-19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sz w:val="16"/>
      </w:rPr>
      <w:t>NBA PROP QUANT | QUANTITATIVE WORK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