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Bdr>
          <w:bottom w:val="single" w:sz="12" w:space="4" w:color="D4AF37"/>
        </w:pBdr>
      </w:pPr>
      <w:r>
        <w:rPr>
          <w:b/>
          <w:color w:val="D4AF37"/>
          <w:sz w:val="18"/>
        </w:rPr>
        <w:t>WIZARDOFODDS.COM</w:t>
      </w:r>
      <w:r>
        <w:rPr>
          <w:color w:val="555555"/>
          <w:sz w:val="18"/>
        </w:rPr>
        <w:t xml:space="preserve">     |     How the 2026 World Cup Prediction Model Works</w:t>
      </w:r>
    </w:p>
    <w:p>
      <w:pPr>
        <w:spacing w:before="0" w:after="120"/>
      </w:pPr>
    </w:p>
    <w:p>
      <w:pPr>
        <w:spacing w:before="240" w:after="120"/>
        <w:keepWithNext/>
        <w:keepLines/>
      </w:pPr>
      <w:r>
        <w:rPr>
          <w:b/>
          <w:color w:val="111111"/>
          <w:sz w:val="44"/>
        </w:rPr>
        <w:t>How the 2026 World Cup Prediction Model Works</w:t>
      </w:r>
    </w:p>
    <w:p>
      <w:pPr>
        <w:spacing w:before="0" w:after="200"/>
      </w:pPr>
      <w:r>
        <w:rPr>
          <w:i/>
          <w:color w:val="555555"/>
          <w:sz w:val="22"/>
        </w:rPr>
        <w:t>A complete guide to the mathematics behind the joint score probability engine -- WizardOfOdds.com -- June 2026</w:t>
      </w:r>
    </w:p>
    <w:p>
      <w:pPr>
        <w:keepNext/>
        <w:spacing w:before="360" w:after="60"/>
        <w:keepWithNext/>
        <w:keepLines/>
        <w:pBdr>
          <w:bottom w:val="single" w:sz="6" w:space="3" w:color="D4AF37"/>
        </w:pBdr>
      </w:pPr>
      <w:r>
        <w:rPr>
          <w:b/>
          <w:color w:val="111111"/>
          <w:sz w:val="28"/>
        </w:rPr>
        <w:t>Introduction</w:t>
      </w:r>
    </w:p>
    <w:p>
      <w:pPr>
        <w:spacing w:before="0" w:after="140"/>
        <w:jc w:val="both"/>
      </w:pPr>
      <w:r>
        <w:rPr>
          <w:color w:val="111111"/>
          <w:sz w:val="20"/>
        </w:rPr>
        <w:t>Predicting the outcome of a football match is an exercise in structured humility. A match produces roughly two or three goals, arriving from a chaotic sequence of decisions and individual brilliance that no model can fully capture. Even the best football models in the world -- the ones running inside sharp sportsbooks -- are wrong more often than they are right about any individual game.</w:t>
      </w:r>
    </w:p>
    <w:p>
      <w:pPr>
        <w:spacing w:before="0" w:after="140"/>
        <w:jc w:val="both"/>
      </w:pPr>
      <w:r>
        <w:rPr>
          <w:color w:val="111111"/>
          <w:sz w:val="20"/>
        </w:rPr>
        <w:t>What a well-built model can do is get the probabilities right over a large number of matches. Assign 30% probability to outcomes that happen 30% of the time. Be faster than the public market in incorporating new information. Identify specific markets where the bookmaker's price does not reflect the available evidence. That is a narrower ambition than predicting winners -- but it is the one that produces long-run results.</w:t>
      </w:r>
    </w:p>
    <w:p>
      <w:pPr>
        <w:spacing w:before="0" w:after="140"/>
        <w:jc w:val="both"/>
      </w:pPr>
      <w:r>
        <w:rPr>
          <w:color w:val="111111"/>
          <w:sz w:val="20"/>
        </w:rPr>
        <w:t>This model produces a full joint probability distribution over every possible final score for every 2026 FIFA World Cup match. It runs six competing parametric models daily, blends them with a composite rating system built from six independent data sources, reconciles the result against live bookmaker prices, and runs every output through an automated calibration framework. The pipeline runs without human intervention 24 hours a day.</w:t>
      </w:r>
    </w:p>
    <w:p>
      <w:pPr>
        <w:keepNext/>
        <w:spacing w:before="360" w:after="60"/>
        <w:keepWithNext/>
        <w:keepLines/>
        <w:pBdr>
          <w:bottom w:val="single" w:sz="6" w:space="3" w:color="D4AF37"/>
        </w:pBdr>
      </w:pPr>
      <w:r>
        <w:rPr>
          <w:b/>
          <w:color w:val="111111"/>
          <w:sz w:val="28"/>
        </w:rPr>
        <w:t>What a Joint Score PMF Actually Is</w:t>
      </w:r>
    </w:p>
    <w:p>
      <w:pPr>
        <w:spacing w:before="0" w:after="140"/>
        <w:jc w:val="both"/>
      </w:pPr>
      <w:r>
        <w:rPr>
          <w:color w:val="111111"/>
          <w:sz w:val="20"/>
        </w:rPr>
        <w:t>Before describing the engine, it helps to understand precisely what it produces. A PMF -- Probability Mass Function -- is a complete assignment of probability to every possible discrete outcome. For a football match, the joint score PMF is a two-dimensional grid. Each cell (h, a) holds P(Home = h, Away = a): the probability that the home team scores exactly h goals and the away team scores exactly a goals in regulation time.</w:t>
      </w:r>
    </w:p>
    <w:p>
      <w:pPr>
        <w:spacing w:before="0" w:after="140"/>
        <w:jc w:val="both"/>
      </w:pPr>
      <w:r>
        <w:rPr>
          <w:color w:val="111111"/>
          <w:sz w:val="20"/>
        </w:rPr>
        <w:t>The grid runs from (0, 0) through 8 or 9 goals per team, plus an explicit tail-mass bucket for extreme scores beyond the boundary. Every cell including the tail sums to exactly 1.0. This is a hard constraint enforced at every stage of the pipeline.</w:t>
      </w:r>
    </w:p>
    <w:p>
      <w:pPr>
        <w:spacing w:before="0" w:after="140"/>
        <w:jc w:val="both"/>
      </w:pPr>
      <w:r>
        <w:rPr>
          <w:color w:val="111111"/>
          <w:sz w:val="20"/>
        </w:rPr>
        <w:t>Every betting market is simply a different question about this same grid. There is no separate model for Over/Under, no separate model for BTTS -- every number flows from one source of truth:</w:t>
      </w:r>
    </w:p>
    <w:tbl>
      <w:tblPr>
        <w:tblStyle w:val="TableGrid"/>
        <w:tblW w:type="auto" w:w="0"/>
        <w:tblLook w:firstColumn="1" w:firstRow="1" w:lastColumn="0" w:lastRow="0" w:noHBand="0" w:noVBand="1" w:val="04A0"/>
      </w:tblPr>
      <w:tblGrid>
        <w:gridCol w:w="2592"/>
        <w:gridCol w:w="6336"/>
      </w:tblGrid>
      <w:tr>
        <w:tc>
          <w:tcPr>
            <w:tcW w:type="dxa" w:w="4536"/>
            <w:shd w:val="clear" w:color="auto" w:fill="0A0E1A"/>
          </w:tcPr>
          <w:p>
            <w:r/>
            <w:r>
              <w:rPr>
                <w:b/>
                <w:color w:val="D4AF37"/>
                <w:sz w:val="18"/>
              </w:rPr>
              <w:t>Market</w:t>
            </w:r>
          </w:p>
        </w:tc>
        <w:tc>
          <w:tcPr>
            <w:tcW w:type="dxa" w:w="4536"/>
            <w:shd w:val="clear" w:color="auto" w:fill="0A0E1A"/>
          </w:tcPr>
          <w:p>
            <w:r/>
            <w:r>
              <w:rPr>
                <w:b/>
                <w:color w:val="D4AF37"/>
                <w:sz w:val="18"/>
              </w:rPr>
              <w:t>How It Is Calculated from the PMF Grid</w:t>
            </w:r>
          </w:p>
        </w:tc>
      </w:tr>
      <w:tr>
        <w:tc>
          <w:tcPr>
            <w:tcW w:type="dxa" w:w="4536"/>
            <w:shd w:val="clear" w:color="auto" w:fill="FFFFFF"/>
          </w:tcPr>
          <w:p>
            <w:r>
              <w:rPr>
                <w:color w:val="111111"/>
                <w:sz w:val="18"/>
              </w:rPr>
              <w:t>Over 2.5 goals</w:t>
            </w:r>
          </w:p>
        </w:tc>
        <w:tc>
          <w:tcPr>
            <w:tcW w:type="dxa" w:w="4536"/>
            <w:shd w:val="clear" w:color="auto" w:fill="FFFFFF"/>
          </w:tcPr>
          <w:p>
            <w:r>
              <w:rPr>
                <w:color w:val="111111"/>
                <w:sz w:val="18"/>
              </w:rPr>
              <w:t>Sum all cells where h + a &gt;= 3</w:t>
            </w:r>
          </w:p>
        </w:tc>
      </w:tr>
      <w:tr>
        <w:tc>
          <w:tcPr>
            <w:tcW w:type="dxa" w:w="4536"/>
            <w:shd w:val="clear" w:color="auto" w:fill="F0F0F0"/>
          </w:tcPr>
          <w:p>
            <w:r>
              <w:rPr>
                <w:color w:val="111111"/>
                <w:sz w:val="18"/>
              </w:rPr>
              <w:t>Under 2.5 goals</w:t>
            </w:r>
          </w:p>
        </w:tc>
        <w:tc>
          <w:tcPr>
            <w:tcW w:type="dxa" w:w="4536"/>
            <w:shd w:val="clear" w:color="auto" w:fill="F0F0F0"/>
          </w:tcPr>
          <w:p>
            <w:r>
              <w:rPr>
                <w:color w:val="111111"/>
                <w:sz w:val="18"/>
              </w:rPr>
              <w:t>Sum all cells where h + a &lt;= 2</w:t>
            </w:r>
          </w:p>
        </w:tc>
      </w:tr>
      <w:tr>
        <w:tc>
          <w:tcPr>
            <w:tcW w:type="dxa" w:w="4536"/>
            <w:shd w:val="clear" w:color="auto" w:fill="FFFFFF"/>
          </w:tcPr>
          <w:p>
            <w:r>
              <w:rPr>
                <w:color w:val="111111"/>
                <w:sz w:val="18"/>
              </w:rPr>
              <w:t>Both Teams to Score</w:t>
            </w:r>
          </w:p>
        </w:tc>
        <w:tc>
          <w:tcPr>
            <w:tcW w:type="dxa" w:w="4536"/>
            <w:shd w:val="clear" w:color="auto" w:fill="FFFFFF"/>
          </w:tcPr>
          <w:p>
            <w:r>
              <w:rPr>
                <w:color w:val="111111"/>
                <w:sz w:val="18"/>
              </w:rPr>
              <w:t>All cells where h &gt;= 1 AND a &gt;= 1</w:t>
            </w:r>
          </w:p>
        </w:tc>
      </w:tr>
      <w:tr>
        <w:tc>
          <w:tcPr>
            <w:tcW w:type="dxa" w:w="4536"/>
            <w:shd w:val="clear" w:color="auto" w:fill="F0F0F0"/>
          </w:tcPr>
          <w:p>
            <w:r>
              <w:rPr>
                <w:color w:val="111111"/>
                <w:sz w:val="18"/>
              </w:rPr>
              <w:t>Home Win</w:t>
            </w:r>
          </w:p>
        </w:tc>
        <w:tc>
          <w:tcPr>
            <w:tcW w:type="dxa" w:w="4536"/>
            <w:shd w:val="clear" w:color="auto" w:fill="F0F0F0"/>
          </w:tcPr>
          <w:p>
            <w:r>
              <w:rPr>
                <w:color w:val="111111"/>
                <w:sz w:val="18"/>
              </w:rPr>
              <w:t>All cells where h &gt; a</w:t>
            </w:r>
          </w:p>
        </w:tc>
      </w:tr>
      <w:tr>
        <w:tc>
          <w:tcPr>
            <w:tcW w:type="dxa" w:w="4536"/>
            <w:shd w:val="clear" w:color="auto" w:fill="FFFFFF"/>
          </w:tcPr>
          <w:p>
            <w:r>
              <w:rPr>
                <w:color w:val="111111"/>
                <w:sz w:val="18"/>
              </w:rPr>
              <w:t>Draw</w:t>
            </w:r>
          </w:p>
        </w:tc>
        <w:tc>
          <w:tcPr>
            <w:tcW w:type="dxa" w:w="4536"/>
            <w:shd w:val="clear" w:color="auto" w:fill="FFFFFF"/>
          </w:tcPr>
          <w:p>
            <w:r>
              <w:rPr>
                <w:color w:val="111111"/>
                <w:sz w:val="18"/>
              </w:rPr>
              <w:t>All cells on the main diagonal: (0,0), (1,1), (2,2), ...</w:t>
            </w:r>
          </w:p>
        </w:tc>
      </w:tr>
      <w:tr>
        <w:tc>
          <w:tcPr>
            <w:tcW w:type="dxa" w:w="4536"/>
            <w:shd w:val="clear" w:color="auto" w:fill="F0F0F0"/>
          </w:tcPr>
          <w:p>
            <w:r>
              <w:rPr>
                <w:color w:val="111111"/>
                <w:sz w:val="18"/>
              </w:rPr>
              <w:t>Away Win</w:t>
            </w:r>
          </w:p>
        </w:tc>
        <w:tc>
          <w:tcPr>
            <w:tcW w:type="dxa" w:w="4536"/>
            <w:shd w:val="clear" w:color="auto" w:fill="F0F0F0"/>
          </w:tcPr>
          <w:p>
            <w:r>
              <w:rPr>
                <w:color w:val="111111"/>
                <w:sz w:val="18"/>
              </w:rPr>
              <w:t>All cells where a &gt; h</w:t>
            </w:r>
          </w:p>
        </w:tc>
      </w:tr>
      <w:tr>
        <w:tc>
          <w:tcPr>
            <w:tcW w:type="dxa" w:w="4536"/>
            <w:shd w:val="clear" w:color="auto" w:fill="FFFFFF"/>
          </w:tcPr>
          <w:p>
            <w:r>
              <w:rPr>
                <w:color w:val="111111"/>
                <w:sz w:val="18"/>
              </w:rPr>
              <w:t>Correct score 2-1</w:t>
            </w:r>
          </w:p>
        </w:tc>
        <w:tc>
          <w:tcPr>
            <w:tcW w:type="dxa" w:w="4536"/>
            <w:shd w:val="clear" w:color="auto" w:fill="FFFFFF"/>
          </w:tcPr>
          <w:p>
            <w:r>
              <w:rPr>
                <w:color w:val="111111"/>
                <w:sz w:val="18"/>
              </w:rPr>
              <w:t>The single cell P(h=2, a=1) -- one number read directly</w:t>
            </w:r>
          </w:p>
        </w:tc>
      </w:tr>
      <w:tr>
        <w:tc>
          <w:tcPr>
            <w:tcW w:type="dxa" w:w="4536"/>
            <w:shd w:val="clear" w:color="auto" w:fill="F0F0F0"/>
          </w:tcPr>
          <w:p>
            <w:r>
              <w:rPr>
                <w:color w:val="111111"/>
                <w:sz w:val="18"/>
              </w:rPr>
              <w:t>Home clean sheet</w:t>
            </w:r>
          </w:p>
        </w:tc>
        <w:tc>
          <w:tcPr>
            <w:tcW w:type="dxa" w:w="4536"/>
            <w:shd w:val="clear" w:color="auto" w:fill="F0F0F0"/>
          </w:tcPr>
          <w:p>
            <w:r>
              <w:rPr>
                <w:color w:val="111111"/>
                <w:sz w:val="18"/>
              </w:rPr>
              <w:t>Sum entire column a=0: P(0,0) + P(1,0) + P(2,0) + ...</w:t>
            </w:r>
          </w:p>
        </w:tc>
      </w:tr>
    </w:tbl>
    <w:p>
      <w:pPr>
        <w:spacing w:before="0" w:after="120"/>
      </w:pP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The Internal Consistency Guarantee</w:t>
            </w:r>
          </w:p>
          <w:p>
            <w:pPr>
              <w:spacing w:before="0" w:after="80"/>
              <w:jc w:val="both"/>
            </w:pPr>
            <w:r>
              <w:rPr>
                <w:i/>
                <w:color w:val="333355"/>
                <w:sz w:val="19"/>
              </w:rPr>
              <w:t>There is no separate model for each market type. The PMF is the entire model, and all markets are different questions about the same distribution. This guarantees internal consistency -- a property that does not hold on sites that blend data from different sources or use different models for different markets.</w:t>
            </w:r>
          </w:p>
        </w:tc>
      </w:tr>
    </w:tbl>
    <w:p>
      <w:pPr>
        <w:spacing w:after="120"/>
      </w:pPr>
    </w:p>
    <w:p>
      <w:pPr>
        <w:keepNext/>
        <w:spacing w:before="360" w:after="60"/>
        <w:keepWithNext/>
        <w:keepLines/>
        <w:pBdr>
          <w:bottom w:val="single" w:sz="6" w:space="3" w:color="D4AF37"/>
        </w:pBdr>
      </w:pPr>
      <w:r>
        <w:rPr>
          <w:b/>
          <w:color w:val="111111"/>
          <w:sz w:val="28"/>
        </w:rPr>
        <w:t>Step 1: Rating Every Team -- The Composite Prior</w:t>
      </w:r>
    </w:p>
    <w:p>
      <w:pPr>
        <w:spacing w:before="0" w:after="140"/>
        <w:jc w:val="both"/>
      </w:pPr>
      <w:r>
        <w:rPr>
          <w:color w:val="111111"/>
          <w:sz w:val="20"/>
        </w:rPr>
        <w:t>The first task is assigning each of the 48 World Cup teams an attack lambda and a defense lambda -- the expected goals scored and conceded against an average opponent on a neutral pitch. No single rating system is good enough to trust entirely. Club data does not transfer cleanly to international football. FIFA rankings can lag months behind a team's actual form. Bookmaker odds contain genuine signal but can be distorted by public betting flow on marquee matches. The solution is a composite prior blended from six independent data sources.</w:t>
      </w:r>
    </w:p>
    <w:p>
      <w:pPr>
        <w:spacing w:before="240" w:after="60"/>
        <w:keepWithNext/>
        <w:keepLines/>
      </w:pPr>
      <w:r>
        <w:rPr>
          <w:b/>
          <w:color w:val="1A3A6B"/>
          <w:sz w:val="22"/>
        </w:rPr>
        <w:t>The Six Rating Sources</w:t>
      </w:r>
    </w:p>
    <w:p>
      <w:pPr>
        <w:spacing w:before="0" w:after="80"/>
        <w:jc w:val="both"/>
      </w:pPr>
      <w:r>
        <w:rPr>
          <w:color w:val="111111"/>
          <w:sz w:val="20"/>
        </w:rPr>
        <w:t>Weights shown are for matches where bookmaker odds are available:</w:t>
      </w:r>
    </w:p>
    <w:tbl>
      <w:tblPr>
        <w:tblStyle w:val="TableGrid"/>
        <w:tblW w:type="auto" w:w="0"/>
        <w:tblLook w:firstColumn="1" w:firstRow="1" w:lastColumn="0" w:lastRow="0" w:noHBand="0" w:noVBand="1" w:val="04A0"/>
      </w:tblPr>
      <w:tblGrid>
        <w:gridCol w:w="2268"/>
        <w:gridCol w:w="2268"/>
        <w:gridCol w:w="2268"/>
        <w:gridCol w:w="2268"/>
      </w:tblGrid>
      <w:tr>
        <w:tc>
          <w:tcPr>
            <w:tcW w:type="dxa" w:w="2160"/>
            <w:shd w:val="clear" w:color="auto" w:fill="0A0E1A"/>
          </w:tcPr>
          <w:p>
            <w:r/>
            <w:r>
              <w:rPr>
                <w:b/>
                <w:color w:val="D4AF37"/>
                <w:sz w:val="18"/>
              </w:rPr>
              <w:t>Source</w:t>
            </w:r>
          </w:p>
        </w:tc>
        <w:tc>
          <w:tcPr>
            <w:tcW w:type="dxa" w:w="2736"/>
            <w:shd w:val="clear" w:color="auto" w:fill="0A0E1A"/>
          </w:tcPr>
          <w:p>
            <w:r/>
            <w:r>
              <w:rPr>
                <w:b/>
                <w:color w:val="D4AF37"/>
                <w:sz w:val="18"/>
              </w:rPr>
              <w:t>Primary Data</w:t>
            </w:r>
          </w:p>
        </w:tc>
        <w:tc>
          <w:tcPr>
            <w:tcW w:type="dxa" w:w="1008"/>
            <w:shd w:val="clear" w:color="auto" w:fill="0A0E1A"/>
          </w:tcPr>
          <w:p>
            <w:r/>
            <w:r>
              <w:rPr>
                <w:b/>
                <w:color w:val="D4AF37"/>
                <w:sz w:val="18"/>
              </w:rPr>
              <w:t>Weight</w:t>
            </w:r>
          </w:p>
        </w:tc>
        <w:tc>
          <w:tcPr>
            <w:tcW w:type="dxa" w:w="3024"/>
            <w:shd w:val="clear" w:color="auto" w:fill="0A0E1A"/>
          </w:tcPr>
          <w:p>
            <w:r/>
            <w:r>
              <w:rPr>
                <w:b/>
                <w:color w:val="D4AF37"/>
                <w:sz w:val="18"/>
              </w:rPr>
              <w:t>Key Strength</w:t>
            </w:r>
          </w:p>
        </w:tc>
      </w:tr>
      <w:tr>
        <w:tc>
          <w:tcPr>
            <w:tcW w:type="dxa" w:w="2160"/>
            <w:shd w:val="clear" w:color="auto" w:fill="FFFFFF"/>
          </w:tcPr>
          <w:p>
            <w:r>
              <w:rPr>
                <w:color w:val="111111"/>
                <w:sz w:val="18"/>
              </w:rPr>
              <w:t>1. Market-Implied</w:t>
            </w:r>
          </w:p>
        </w:tc>
        <w:tc>
          <w:tcPr>
            <w:tcW w:type="dxa" w:w="2736"/>
            <w:shd w:val="clear" w:color="auto" w:fill="FFFFFF"/>
          </w:tcPr>
          <w:p>
            <w:r>
              <w:rPr>
                <w:color w:val="111111"/>
                <w:sz w:val="18"/>
              </w:rPr>
              <w:t>1X2 odds from up to 6 bookmakers</w:t>
            </w:r>
          </w:p>
        </w:tc>
        <w:tc>
          <w:tcPr>
            <w:tcW w:type="dxa" w:w="1008"/>
            <w:shd w:val="clear" w:color="auto" w:fill="FFFFFF"/>
          </w:tcPr>
          <w:p>
            <w:r>
              <w:rPr>
                <w:color w:val="111111"/>
                <w:sz w:val="18"/>
              </w:rPr>
              <w:t>30%</w:t>
            </w:r>
          </w:p>
        </w:tc>
        <w:tc>
          <w:tcPr>
            <w:tcW w:type="dxa" w:w="3024"/>
            <w:shd w:val="clear" w:color="auto" w:fill="FFFFFF"/>
          </w:tcPr>
          <w:p>
            <w:r>
              <w:rPr>
                <w:color w:val="111111"/>
                <w:sz w:val="18"/>
              </w:rPr>
              <w:t>Late team news, sharp money, all available information</w:t>
            </w:r>
          </w:p>
        </w:tc>
      </w:tr>
      <w:tr>
        <w:tc>
          <w:tcPr>
            <w:tcW w:type="dxa" w:w="2160"/>
            <w:shd w:val="clear" w:color="auto" w:fill="F0F0F0"/>
          </w:tcPr>
          <w:p>
            <w:r>
              <w:rPr>
                <w:color w:val="111111"/>
                <w:sz w:val="18"/>
              </w:rPr>
              <w:t>2. FIFA Ranking</w:t>
            </w:r>
          </w:p>
        </w:tc>
        <w:tc>
          <w:tcPr>
            <w:tcW w:type="dxa" w:w="2736"/>
            <w:shd w:val="clear" w:color="auto" w:fill="F0F0F0"/>
          </w:tcPr>
          <w:p>
            <w:r>
              <w:rPr>
                <w:color w:val="111111"/>
                <w:sz w:val="18"/>
              </w:rPr>
              <w:t>March 2026 points snapshot</w:t>
            </w:r>
          </w:p>
        </w:tc>
        <w:tc>
          <w:tcPr>
            <w:tcW w:type="dxa" w:w="1008"/>
            <w:shd w:val="clear" w:color="auto" w:fill="F0F0F0"/>
          </w:tcPr>
          <w:p>
            <w:r>
              <w:rPr>
                <w:color w:val="111111"/>
                <w:sz w:val="18"/>
              </w:rPr>
              <w:t>~12%</w:t>
            </w:r>
          </w:p>
        </w:tc>
        <w:tc>
          <w:tcPr>
            <w:tcW w:type="dxa" w:w="3024"/>
            <w:shd w:val="clear" w:color="auto" w:fill="F0F0F0"/>
          </w:tcPr>
          <w:p>
            <w:r>
              <w:rPr>
                <w:color w:val="111111"/>
                <w:sz w:val="18"/>
              </w:rPr>
              <w:t>Long-run international performance across all competitions</w:t>
            </w:r>
          </w:p>
        </w:tc>
      </w:tr>
      <w:tr>
        <w:tc>
          <w:tcPr>
            <w:tcW w:type="dxa" w:w="2160"/>
            <w:shd w:val="clear" w:color="auto" w:fill="FFFFFF"/>
          </w:tcPr>
          <w:p>
            <w:r>
              <w:rPr>
                <w:color w:val="111111"/>
                <w:sz w:val="18"/>
              </w:rPr>
              <w:t>3. Qualifying Record</w:t>
            </w:r>
          </w:p>
        </w:tc>
        <w:tc>
          <w:tcPr>
            <w:tcW w:type="dxa" w:w="2736"/>
            <w:shd w:val="clear" w:color="auto" w:fill="FFFFFF"/>
          </w:tcPr>
          <w:p>
            <w:r>
              <w:rPr>
                <w:color w:val="111111"/>
                <w:sz w:val="18"/>
              </w:rPr>
              <w:t>Attack/defense efficiency, shrunk</w:t>
            </w:r>
          </w:p>
        </w:tc>
        <w:tc>
          <w:tcPr>
            <w:tcW w:type="dxa" w:w="1008"/>
            <w:shd w:val="clear" w:color="auto" w:fill="FFFFFF"/>
          </w:tcPr>
          <w:p>
            <w:r>
              <w:rPr>
                <w:color w:val="111111"/>
                <w:sz w:val="18"/>
              </w:rPr>
              <w:t>~10%</w:t>
            </w:r>
          </w:p>
        </w:tc>
        <w:tc>
          <w:tcPr>
            <w:tcW w:type="dxa" w:w="3024"/>
            <w:shd w:val="clear" w:color="auto" w:fill="FFFFFF"/>
          </w:tcPr>
          <w:p>
            <w:r>
              <w:rPr>
                <w:color w:val="111111"/>
                <w:sz w:val="18"/>
              </w:rPr>
              <w:t>Campaign-specific form, recent competitive history</w:t>
            </w:r>
          </w:p>
        </w:tc>
      </w:tr>
      <w:tr>
        <w:tc>
          <w:tcPr>
            <w:tcW w:type="dxa" w:w="2160"/>
            <w:shd w:val="clear" w:color="auto" w:fill="F0F0F0"/>
          </w:tcPr>
          <w:p>
            <w:r>
              <w:rPr>
                <w:color w:val="111111"/>
                <w:sz w:val="18"/>
              </w:rPr>
              <w:t>4. Pi Rating (penaltyblog)</w:t>
            </w:r>
          </w:p>
        </w:tc>
        <w:tc>
          <w:tcPr>
            <w:tcW w:type="dxa" w:w="2736"/>
            <w:shd w:val="clear" w:color="auto" w:fill="F0F0F0"/>
          </w:tcPr>
          <w:p>
            <w:r>
              <w:rPr>
                <w:color w:val="111111"/>
                <w:sz w:val="18"/>
              </w:rPr>
              <w:t>Goal-margin Elo, goal-sensitive</w:t>
            </w:r>
          </w:p>
        </w:tc>
        <w:tc>
          <w:tcPr>
            <w:tcW w:type="dxa" w:w="1008"/>
            <w:shd w:val="clear" w:color="auto" w:fill="F0F0F0"/>
          </w:tcPr>
          <w:p>
            <w:r>
              <w:rPr>
                <w:color w:val="111111"/>
                <w:sz w:val="18"/>
              </w:rPr>
              <w:t>~18%</w:t>
            </w:r>
          </w:p>
        </w:tc>
        <w:tc>
          <w:tcPr>
            <w:tcW w:type="dxa" w:w="3024"/>
            <w:shd w:val="clear" w:color="auto" w:fill="F0F0F0"/>
          </w:tcPr>
          <w:p>
            <w:r>
              <w:rPr>
                <w:color w:val="111111"/>
                <w:sz w:val="18"/>
              </w:rPr>
              <w:t>Fast form updates, responds to margin of victory</w:t>
            </w:r>
          </w:p>
        </w:tc>
      </w:tr>
      <w:tr>
        <w:tc>
          <w:tcPr>
            <w:tcW w:type="dxa" w:w="2160"/>
            <w:shd w:val="clear" w:color="auto" w:fill="FFFFFF"/>
          </w:tcPr>
          <w:p>
            <w:r>
              <w:rPr>
                <w:color w:val="111111"/>
                <w:sz w:val="18"/>
              </w:rPr>
              <w:t>5. Elo Rating (penaltyblog)</w:t>
            </w:r>
          </w:p>
        </w:tc>
        <w:tc>
          <w:tcPr>
            <w:tcW w:type="dxa" w:w="2736"/>
            <w:shd w:val="clear" w:color="auto" w:fill="FFFFFF"/>
          </w:tcPr>
          <w:p>
            <w:r>
              <w:rPr>
                <w:color w:val="111111"/>
                <w:sz w:val="18"/>
              </w:rPr>
              <w:t>Win/loss/draw outcomes</w:t>
            </w:r>
          </w:p>
        </w:tc>
        <w:tc>
          <w:tcPr>
            <w:tcW w:type="dxa" w:w="1008"/>
            <w:shd w:val="clear" w:color="auto" w:fill="FFFFFF"/>
          </w:tcPr>
          <w:p>
            <w:r>
              <w:rPr>
                <w:color w:val="111111"/>
                <w:sz w:val="18"/>
              </w:rPr>
              <w:t>~35%</w:t>
            </w:r>
          </w:p>
        </w:tc>
        <w:tc>
          <w:tcPr>
            <w:tcW w:type="dxa" w:w="3024"/>
            <w:shd w:val="clear" w:color="auto" w:fill="FFFFFF"/>
          </w:tcPr>
          <w:p>
            <w:r>
              <w:rPr>
                <w:color w:val="111111"/>
                <w:sz w:val="18"/>
              </w:rPr>
              <w:t>Stability and long-run signal, not distorted by flukes</w:t>
            </w:r>
          </w:p>
        </w:tc>
      </w:tr>
      <w:tr>
        <w:tc>
          <w:tcPr>
            <w:tcW w:type="dxa" w:w="2160"/>
            <w:shd w:val="clear" w:color="auto" w:fill="F0F0F0"/>
          </w:tcPr>
          <w:p>
            <w:r>
              <w:rPr>
                <w:color w:val="111111"/>
                <w:sz w:val="18"/>
              </w:rPr>
              <w:t>6. Confederation Baseline</w:t>
            </w:r>
          </w:p>
        </w:tc>
        <w:tc>
          <w:tcPr>
            <w:tcW w:type="dxa" w:w="2736"/>
            <w:shd w:val="clear" w:color="auto" w:fill="F0F0F0"/>
          </w:tcPr>
          <w:p>
            <w:r>
              <w:rPr>
                <w:color w:val="111111"/>
                <w:sz w:val="18"/>
              </w:rPr>
              <w:t>Historical WC averages by region</w:t>
            </w:r>
          </w:p>
        </w:tc>
        <w:tc>
          <w:tcPr>
            <w:tcW w:type="dxa" w:w="1008"/>
            <w:shd w:val="clear" w:color="auto" w:fill="F0F0F0"/>
          </w:tcPr>
          <w:p>
            <w:r>
              <w:rPr>
                <w:color w:val="111111"/>
                <w:sz w:val="18"/>
              </w:rPr>
              <w:t>~5%</w:t>
            </w:r>
          </w:p>
        </w:tc>
        <w:tc>
          <w:tcPr>
            <w:tcW w:type="dxa" w:w="3024"/>
            <w:shd w:val="clear" w:color="auto" w:fill="F0F0F0"/>
          </w:tcPr>
          <w:p>
            <w:r>
              <w:rPr>
                <w:color w:val="111111"/>
                <w:sz w:val="18"/>
              </w:rPr>
              <w:t>Soft floor preventing impossible extreme estimates</w:t>
            </w:r>
          </w:p>
        </w:tc>
      </w:tr>
    </w:tbl>
    <w:p>
      <w:pPr>
        <w:spacing w:before="0" w:after="160"/>
      </w:pPr>
    </w:p>
    <w:p>
      <w:pPr>
        <w:spacing w:before="240" w:after="60"/>
        <w:keepWithNext/>
        <w:keepLines/>
      </w:pPr>
      <w:r>
        <w:rPr>
          <w:b/>
          <w:color w:val="1A3A6B"/>
          <w:sz w:val="22"/>
        </w:rPr>
        <w:t>Source 1: Market-Implied Strength (30% weight)</w:t>
      </w:r>
    </w:p>
    <w:p>
      <w:pPr>
        <w:spacing w:before="0" w:after="140"/>
        <w:jc w:val="both"/>
      </w:pPr>
      <w:r>
        <w:rPr>
          <w:color w:val="111111"/>
          <w:sz w:val="20"/>
        </w:rPr>
        <w:t>When bookmaker odds are available, they encode information no rating system can access: late team news, undisclosed injuries, sharp professional money, and the aggregate view of every serious analyst who has looked at the match. The model reverse-engineers what attack and defense lambdas would produce the bookmaker's observed 1X2 probabilities. Before doing this, the bookmaker margin must be removed. SHIN normalization is applied to all odds from all bookmakers to convert them to fair (no-margin) probabilities. Using raw odds as fair probabilities would consistently bias every market comparison -- this step is not optional. Up to 6 sportsbooks contribute: FanDuel, DraftKings, BetMGM, BetRivers, Caesars, and Fanatics. Their no-vig probabilities are averaged to produce a consensus view.</w:t>
      </w:r>
    </w:p>
    <w:p>
      <w:pPr>
        <w:spacing w:before="240" w:after="60"/>
        <w:keepWithNext/>
        <w:keepLines/>
      </w:pPr>
      <w:r>
        <w:rPr>
          <w:b/>
          <w:color w:val="1A3A6B"/>
          <w:sz w:val="22"/>
        </w:rPr>
        <w:t>Host Advantage and Altitude Adjustments</w:t>
      </w:r>
    </w:p>
    <w:p>
      <w:pPr>
        <w:spacing w:before="0" w:after="140"/>
        <w:jc w:val="both"/>
      </w:pPr>
      <w:r>
        <w:rPr>
          <w:color w:val="111111"/>
          <w:sz w:val="20"/>
        </w:rPr>
        <w:t>USA, Canada, and Mexico each receive +0.10 to attack lambda and -0.10 to defense lambda as co-hosts. All other matches are treated as neutral venue. Three Mexican venues sit at elevations that materially reduce scoring for unacclimated players. Both teams' lambdas are scaled equally since neither side has an acclimatization advantage:</w:t>
      </w:r>
    </w:p>
    <w:p>
      <w:pPr>
        <w:pStyle w:val="ListBullet"/>
        <w:spacing w:before="20" w:after="40"/>
        <w:ind w:left="432"/>
      </w:pPr>
      <w:r>
        <w:rPr>
          <w:color w:val="111111"/>
          <w:sz w:val="20"/>
        </w:rPr>
        <w:t>Estadio Azteca, Mexico City (2,230m): 0.93x multiplier -- approximately 7% scoring reduction</w:t>
      </w:r>
    </w:p>
    <w:p>
      <w:pPr>
        <w:pStyle w:val="ListBullet"/>
        <w:spacing w:before="20" w:after="40"/>
        <w:ind w:left="432"/>
      </w:pPr>
      <w:r>
        <w:rPr>
          <w:color w:val="111111"/>
          <w:sz w:val="20"/>
        </w:rPr>
        <w:t>Estadio Akron, Guadalajara (1,560m): 0.97x multiplier -- approximately 3% reduction</w:t>
      </w:r>
    </w:p>
    <w:p>
      <w:pPr>
        <w:pStyle w:val="ListBullet"/>
        <w:spacing w:before="20" w:after="40"/>
        <w:ind w:left="432"/>
      </w:pPr>
      <w:r>
        <w:rPr>
          <w:color w:val="111111"/>
          <w:sz w:val="20"/>
        </w:rPr>
        <w:t>Estadio BBVA, Monterrey (530m): no adjustment</w:t>
      </w:r>
    </w:p>
    <w:p>
      <w:pPr>
        <w:spacing w:before="240" w:after="60"/>
        <w:keepWithNext/>
        <w:keepLines/>
      </w:pPr>
      <w:r>
        <w:rPr>
          <w:b/>
          <w:color w:val="1A3A6B"/>
          <w:sz w:val="22"/>
        </w:rPr>
        <w:t>Tournament Adjustment: Learning from 2026 Results</w:t>
      </w:r>
    </w:p>
    <w:p>
      <w:pPr>
        <w:spacing w:before="0" w:after="140"/>
        <w:jc w:val="both"/>
      </w:pPr>
      <w:r>
        <w:rPr>
          <w:color w:val="111111"/>
          <w:sz w:val="20"/>
        </w:rPr>
        <w:t>Once WC2026 matches complete, their results feed back into each team's composite rating through a Bayesian shrinkage mechanism. For a team with n completed WC2026 matches, the shrinkage factor is n / (n + 3). This means one match contributes 25% weight, two matches contribute 40%, three matches 50% -- preventing overreaction to a single result while genuinely updating on multiple games. Adjustments are capped at +/- 30%. Currently 22 teams have active tournament adjustments from 11 completed WC2026 matches. Expected goals data from BallDontLie is blended in for all 22 teams (40% actual goals / 60% xG) to reduce noise.</w:t>
      </w:r>
    </w:p>
    <w:p>
      <w:pPr>
        <w:spacing w:before="240" w:after="60"/>
        <w:keepWithNext/>
        <w:keepLines/>
      </w:pPr>
      <w:r>
        <w:rPr>
          <w:b/>
          <w:color w:val="1A3A6B"/>
          <w:sz w:val="22"/>
        </w:rPr>
        <w:t>Dynamic WC_AVG Scaling</w:t>
      </w:r>
    </w:p>
    <w:p>
      <w:pPr>
        <w:spacing w:before="0" w:after="140"/>
        <w:jc w:val="both"/>
      </w:pPr>
      <w:r>
        <w:rPr>
          <w:color w:val="111111"/>
          <w:sz w:val="20"/>
        </w:rPr>
        <w:t>This World Cup is playing at a historically high scoring rate. The historical average from 2018 and 2022 was 1.30 goals per team per match. Through 11 completed 2026 matches, the observed rate is 1.455 goals per team per match. The model applies a scaling factor of 1.119x to all 52 team lambdas after the composite prior is built, ensuring predictions reflect the actual tournament environment rather than being anchored to historical baselines.</w:t>
      </w: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Current Status -- June 2026</w:t>
            </w:r>
          </w:p>
          <w:p>
            <w:pPr>
              <w:spacing w:before="0" w:after="80"/>
              <w:jc w:val="both"/>
            </w:pPr>
            <w:r>
              <w:rPr>
                <w:i/>
                <w:color w:val="333355"/>
                <w:sz w:val="19"/>
              </w:rPr>
              <w:t>22 teams have active tournament adjustments from 11 completed WC2026 matches. The WC_AVG scale factor is 1.119x (observed 1.455 goals/team vs historical 1.30). xG blend is active for all 22 teams with completed matches.</w:t>
            </w:r>
          </w:p>
        </w:tc>
      </w:tr>
    </w:tbl>
    <w:p>
      <w:pPr>
        <w:spacing w:after="120"/>
      </w:pPr>
    </w:p>
    <w:p>
      <w:pPr>
        <w:keepNext/>
        <w:spacing w:before="360" w:after="60"/>
        <w:keepWithNext/>
        <w:keepLines/>
        <w:pBdr>
          <w:bottom w:val="single" w:sz="6" w:space="3" w:color="D4AF37"/>
        </w:pBdr>
      </w:pPr>
      <w:r>
        <w:rPr>
          <w:b/>
          <w:color w:val="111111"/>
          <w:sz w:val="28"/>
        </w:rPr>
        <w:t>Step 2: How P(Home=h, Away=a) Is Calculated -- The Bivariate Poisson</w:t>
      </w:r>
    </w:p>
    <w:p>
      <w:pPr>
        <w:spacing w:before="0" w:after="140"/>
        <w:jc w:val="both"/>
      </w:pPr>
      <w:r>
        <w:rPr>
          <w:color w:val="111111"/>
          <w:sz w:val="20"/>
        </w:rPr>
        <w:t>This is the most technically interesting stage of the model -- the one that separates it from the standard approach found in most public football forecasters.</w:t>
      </w:r>
    </w:p>
    <w:p>
      <w:pPr>
        <w:spacing w:before="240" w:after="60"/>
        <w:keepWithNext/>
        <w:keepLines/>
      </w:pPr>
      <w:r>
        <w:rPr>
          <w:b/>
          <w:color w:val="1A3A6B"/>
          <w:sz w:val="22"/>
        </w:rPr>
        <w:t>The Standard Approach and Its Flaw</w:t>
      </w:r>
    </w:p>
    <w:p>
      <w:pPr>
        <w:spacing w:before="0" w:after="140"/>
        <w:jc w:val="both"/>
      </w:pPr>
      <w:r>
        <w:rPr>
          <w:color w:val="111111"/>
          <w:sz w:val="20"/>
        </w:rPr>
        <w:t>The naive approach assumes home and away goals are independent Poisson random variables. Under this assumption, the joint probability of a final score is simply the product of two independent probabilities:</w:t>
      </w:r>
    </w:p>
    <w:p>
      <w:pPr>
        <w:spacing w:before="80" w:after="120"/>
        <w:ind w:left="432" w:right="432"/>
        <w:shd w:val="clear" w:color="auto" w:fill="EEF2FF"/>
      </w:pPr>
      <w:r>
        <w:rPr>
          <w:rFonts w:ascii="Courier New" w:hAnsi="Courier New"/>
          <w:color w:val="1A2060"/>
          <w:sz w:val="18"/>
        </w:rPr>
        <w:t>P(H=h, A=a) = P(H=h) * P(A=a)</w:t>
        <w:br/>
        <w:t xml:space="preserve">           = [e^(-lam_h) * lam_h^h / h!] * [e^(-lam_a) * lam_a^a / a!]</w:t>
      </w:r>
    </w:p>
    <w:p>
      <w:pPr>
        <w:spacing w:before="0" w:after="140"/>
        <w:jc w:val="both"/>
      </w:pPr>
      <w:r>
        <w:rPr>
          <w:color w:val="111111"/>
          <w:sz w:val="20"/>
        </w:rPr>
        <w:t>This is the textbook starting point and it is wrong in a subtle but important way. Goals are not independent. When a goal goes in at the 25th minute, everything changes -- the losing team pushes forward, the winning team may sit deeper, the tactical picture reshapes entirely. High-intensity, open matches tend to produce more goals for both teams simultaneously. The correlation between home and away goals in football is small but real and positive.</w:t>
      </w:r>
    </w:p>
    <w:p>
      <w:pPr>
        <w:spacing w:before="240" w:after="60"/>
        <w:keepWithNext/>
        <w:keepLines/>
      </w:pPr>
      <w:r>
        <w:rPr>
          <w:b/>
          <w:color w:val="1A3A6B"/>
          <w:sz w:val="22"/>
        </w:rPr>
        <w:t>The Bivariate Poisson: Three Latent Processes</w:t>
      </w:r>
    </w:p>
    <w:p>
      <w:pPr>
        <w:spacing w:before="0" w:after="140"/>
        <w:jc w:val="both"/>
      </w:pPr>
      <w:r>
        <w:rPr>
          <w:color w:val="111111"/>
          <w:sz w:val="20"/>
        </w:rPr>
        <w:t>The Bivariate Poisson model handles this properly. The mathematical intuition: instead of two independent processes, model the goals as arising from THREE independent Poisson processes:</w:t>
      </w:r>
    </w:p>
    <w:p>
      <w:pPr>
        <w:pStyle w:val="ListBullet"/>
        <w:spacing w:before="20" w:after="40"/>
        <w:ind w:left="432"/>
      </w:pPr>
      <w:r>
        <w:rPr>
          <w:color w:val="111111"/>
          <w:sz w:val="20"/>
        </w:rPr>
        <w:t>Z1 ~ Poisson(lambda_1): goals generated by the home team independently</w:t>
      </w:r>
    </w:p>
    <w:p>
      <w:pPr>
        <w:pStyle w:val="ListBullet"/>
        <w:spacing w:before="20" w:after="40"/>
        <w:ind w:left="432"/>
      </w:pPr>
      <w:r>
        <w:rPr>
          <w:color w:val="111111"/>
          <w:sz w:val="20"/>
        </w:rPr>
        <w:t>Z2 ~ Poisson(lambda_2): goals generated by the away team independently</w:t>
      </w:r>
    </w:p>
    <w:p>
      <w:pPr>
        <w:pStyle w:val="ListBullet"/>
        <w:spacing w:before="20" w:after="40"/>
        <w:ind w:left="432"/>
      </w:pPr>
      <w:r>
        <w:rPr>
          <w:color w:val="111111"/>
          <w:sz w:val="20"/>
        </w:rPr>
        <w:t>Z3 ~ Poisson(lambda_3): a shared 'match intensity' component -- extra goals that tend to occur simultaneously in high-energy matches</w:t>
      </w:r>
    </w:p>
    <w:p>
      <w:pPr>
        <w:spacing w:before="0" w:after="140"/>
        <w:jc w:val="both"/>
      </w:pPr>
      <w:r>
        <w:rPr>
          <w:color w:val="111111"/>
          <w:sz w:val="20"/>
        </w:rPr>
        <w:t>Then: H = Z1 + Z3,   A = Z2 + Z3</w:t>
      </w:r>
    </w:p>
    <w:p>
      <w:pPr>
        <w:spacing w:before="0" w:after="140"/>
        <w:jc w:val="both"/>
      </w:pPr>
      <w:r>
        <w:rPr>
          <w:color w:val="111111"/>
          <w:sz w:val="20"/>
        </w:rPr>
        <w:t>Z3 is the key innovation. It creates positive correlation between home and away goals through a shared latent process. A match with high Z3 is one where both teams are pushed into an open, attacking game -- think a Champions League quarter final at 2-1 in the 70th minute with both teams going for it.</w:t>
      </w:r>
    </w:p>
    <w:p>
      <w:pPr>
        <w:spacing w:before="240" w:after="60"/>
        <w:keepWithNext/>
        <w:keepLines/>
      </w:pPr>
      <w:r>
        <w:rPr>
          <w:b/>
          <w:color w:val="1A3A6B"/>
          <w:sz w:val="22"/>
        </w:rPr>
        <w:t>The Joint Probability Formula</w:t>
      </w:r>
    </w:p>
    <w:p>
      <w:pPr>
        <w:spacing w:before="0" w:after="140"/>
        <w:jc w:val="both"/>
      </w:pPr>
      <w:r>
        <w:rPr>
          <w:color w:val="111111"/>
          <w:sz w:val="20"/>
        </w:rPr>
        <w:t>The joint probability of observing exactly h home goals and a away goals under the Bivariate Poisson model is:</w:t>
      </w:r>
    </w:p>
    <w:p>
      <w:pPr>
        <w:spacing w:before="80" w:after="120"/>
        <w:ind w:left="432" w:right="432"/>
        <w:shd w:val="clear" w:color="auto" w:fill="EEF2FF"/>
      </w:pPr>
      <w:r>
        <w:rPr>
          <w:rFonts w:ascii="Courier New" w:hAnsi="Courier New"/>
          <w:color w:val="1A2060"/>
          <w:sz w:val="18"/>
        </w:rPr>
        <w:t>P(H=h, A=a) = e^(-(lam_1 + lam_2 + lam_3))</w:t>
        <w:br/>
        <w:t xml:space="preserve">              * SUM_{k=0}^{min(h,a)}</w:t>
        <w:br/>
        <w:t xml:space="preserve">                  [lam_1^(h-k) / (h-k)!]</w:t>
        <w:br/>
        <w:t xml:space="preserve">                * [lam_2^(a-k) / (a-k)!]</w:t>
        <w:br/>
        <w:t xml:space="preserve">                * [lam_3^k     / k!    ]</w:t>
      </w:r>
    </w:p>
    <w:p>
      <w:pPr>
        <w:spacing w:before="0" w:after="140"/>
        <w:jc w:val="both"/>
      </w:pPr>
      <w:r>
        <w:rPr>
          <w:color w:val="111111"/>
          <w:sz w:val="20"/>
        </w:rPr>
        <w:t>When lambda_3 = 0, the sum has only one term (k=0) and the formula reduces exactly to the independent Poisson product. The Bivariate Poisson IS the independent Poisson when the data does not support correlation -- it never breaks, it only adds information when it is there.</w:t>
      </w:r>
    </w:p>
    <w:tbl>
      <w:tblPr>
        <w:tblStyle w:val="TableGrid"/>
        <w:tblW w:type="auto" w:w="0"/>
        <w:tblLook w:firstColumn="1" w:firstRow="1" w:lastColumn="0" w:lastRow="0" w:noHBand="0" w:noVBand="1" w:val="04A0"/>
      </w:tblPr>
      <w:tblGrid>
        <w:gridCol w:w="9072"/>
      </w:tblGrid>
      <w:tr>
        <w:tc>
          <w:tcPr>
            <w:tcW w:type="dxa" w:w="9072"/>
            <w:shd w:val="clear" w:color="auto" w:fill="FDF8ED"/>
            <w:tcBorders>
              <w:top w:val="none"/>
              <w:right w:val="none"/>
              <w:bottom w:val="none"/>
              <w:insideH w:val="none"/>
              <w:insideV w:val="none"/>
              <w:left w:val="single" w:sz="18" w:color="D4AF37"/>
            </w:tcBorders>
          </w:tcPr>
          <w:p>
            <w:pPr>
              <w:spacing w:before="40" w:after="40"/>
            </w:pPr>
            <w:r>
              <w:rPr>
                <w:b/>
                <w:color w:val="D4AF37"/>
                <w:sz w:val="18"/>
              </w:rPr>
              <w:t>Current Calibrated Value</w:t>
            </w:r>
          </w:p>
          <w:p>
            <w:pPr>
              <w:spacing w:before="0" w:after="80"/>
              <w:jc w:val="both"/>
            </w:pPr>
            <w:r>
              <w:rPr>
                <w:i/>
                <w:color w:val="333355"/>
                <w:sz w:val="19"/>
              </w:rPr>
              <w:t>lambda_3 = 0.170, calibrated from 11 completed WC2026 matches. Positive and meaningful -- this World Cup is showing exactly the mutual intensity correlation the model was built to capture. Cov(H, A) = lambda_3 = 0.170.</w:t>
            </w:r>
          </w:p>
        </w:tc>
      </w:tr>
    </w:tbl>
    <w:p>
      <w:pPr>
        <w:spacing w:after="120"/>
      </w:pPr>
    </w:p>
    <w:p>
      <w:pPr>
        <w:spacing w:before="240" w:after="60"/>
        <w:keepWithNext/>
        <w:keepLines/>
      </w:pPr>
      <w:r>
        <w:rPr>
          <w:b/>
          <w:color w:val="1A3A6B"/>
          <w:sz w:val="22"/>
        </w:rPr>
        <w:t>The Six Parametric Competitors</w:t>
      </w:r>
    </w:p>
    <w:p>
      <w:pPr>
        <w:spacing w:before="0" w:after="80"/>
        <w:jc w:val="both"/>
      </w:pPr>
      <w:r>
        <w:rPr>
          <w:color w:val="111111"/>
          <w:sz w:val="20"/>
        </w:rPr>
        <w:t>The model does not simply use the Bivariate Poisson. It runs six competing parametric models daily, selects the winner by negative log-likelihood on held-out WC2026 data, and uses the champion for all predictions. The winner is reselected daily as more matches accumulate:</w:t>
      </w:r>
    </w:p>
    <w:tbl>
      <w:tblPr>
        <w:tblStyle w:val="TableGrid"/>
        <w:tblW w:type="auto" w:w="0"/>
        <w:tblLook w:firstColumn="1" w:firstRow="1" w:lastColumn="0" w:lastRow="0" w:noHBand="0" w:noVBand="1" w:val="04A0"/>
      </w:tblPr>
      <w:tblGrid>
        <w:gridCol w:w="3024"/>
        <w:gridCol w:w="3024"/>
        <w:gridCol w:w="3024"/>
      </w:tblGrid>
      <w:tr>
        <w:tc>
          <w:tcPr>
            <w:tcW w:type="dxa" w:w="576"/>
            <w:shd w:val="clear" w:color="auto" w:fill="0A0E1A"/>
          </w:tcPr>
          <w:p>
            <w:r/>
            <w:r>
              <w:rPr>
                <w:b/>
                <w:color w:val="D4AF37"/>
                <w:sz w:val="18"/>
              </w:rPr>
              <w:t>#</w:t>
            </w:r>
          </w:p>
        </w:tc>
        <w:tc>
          <w:tcPr>
            <w:tcW w:type="dxa" w:w="2592"/>
            <w:shd w:val="clear" w:color="auto" w:fill="0A0E1A"/>
          </w:tcPr>
          <w:p>
            <w:r/>
            <w:r>
              <w:rPr>
                <w:b/>
                <w:color w:val="D4AF37"/>
                <w:sz w:val="18"/>
              </w:rPr>
              <w:t>Model</w:t>
            </w:r>
          </w:p>
        </w:tc>
        <w:tc>
          <w:tcPr>
            <w:tcW w:type="dxa" w:w="5760"/>
            <w:shd w:val="clear" w:color="auto" w:fill="0A0E1A"/>
          </w:tcPr>
          <w:p>
            <w:r/>
            <w:r>
              <w:rPr>
                <w:b/>
                <w:color w:val="D4AF37"/>
                <w:sz w:val="18"/>
              </w:rPr>
              <w:t>What It Captures</w:t>
            </w:r>
          </w:p>
        </w:tc>
      </w:tr>
      <w:tr>
        <w:tc>
          <w:tcPr>
            <w:tcW w:type="dxa" w:w="576"/>
            <w:shd w:val="clear" w:color="auto" w:fill="FFFFFF"/>
          </w:tcPr>
          <w:p>
            <w:r>
              <w:rPr>
                <w:color w:val="111111"/>
                <w:sz w:val="18"/>
              </w:rPr>
              <w:t>1</w:t>
            </w:r>
          </w:p>
        </w:tc>
        <w:tc>
          <w:tcPr>
            <w:tcW w:type="dxa" w:w="2592"/>
            <w:shd w:val="clear" w:color="auto" w:fill="FFFFFF"/>
          </w:tcPr>
          <w:p>
            <w:r>
              <w:rPr>
                <w:color w:val="111111"/>
                <w:sz w:val="18"/>
              </w:rPr>
              <w:t>Independent Poisson</w:t>
            </w:r>
          </w:p>
        </w:tc>
        <w:tc>
          <w:tcPr>
            <w:tcW w:type="dxa" w:w="5760"/>
            <w:shd w:val="clear" w:color="auto" w:fill="FFFFFF"/>
          </w:tcPr>
          <w:p>
            <w:r>
              <w:rPr>
                <w:color w:val="111111"/>
                <w:sz w:val="18"/>
              </w:rPr>
              <w:t>Classical baseline. Goals independent. Useful benchmark.</w:t>
            </w:r>
          </w:p>
        </w:tc>
      </w:tr>
      <w:tr>
        <w:tc>
          <w:tcPr>
            <w:tcW w:type="dxa" w:w="576"/>
            <w:shd w:val="clear" w:color="auto" w:fill="F0F0F0"/>
          </w:tcPr>
          <w:p>
            <w:r>
              <w:rPr>
                <w:color w:val="111111"/>
                <w:sz w:val="18"/>
              </w:rPr>
              <w:t>2</w:t>
            </w:r>
          </w:p>
        </w:tc>
        <w:tc>
          <w:tcPr>
            <w:tcW w:type="dxa" w:w="2592"/>
            <w:shd w:val="clear" w:color="auto" w:fill="F0F0F0"/>
          </w:tcPr>
          <w:p>
            <w:r>
              <w:rPr>
                <w:color w:val="111111"/>
                <w:sz w:val="18"/>
              </w:rPr>
              <w:t>Dixon-Coles</w:t>
            </w:r>
          </w:p>
        </w:tc>
        <w:tc>
          <w:tcPr>
            <w:tcW w:type="dxa" w:w="5760"/>
            <w:shd w:val="clear" w:color="auto" w:fill="F0F0F0"/>
          </w:tcPr>
          <w:p>
            <w:r>
              <w:rPr>
                <w:color w:val="111111"/>
                <w:sz w:val="18"/>
              </w:rPr>
              <w:t>Low-score correction via rho parameter. Currently rho ~ 0.</w:t>
            </w:r>
          </w:p>
        </w:tc>
      </w:tr>
      <w:tr>
        <w:tc>
          <w:tcPr>
            <w:tcW w:type="dxa" w:w="576"/>
            <w:shd w:val="clear" w:color="auto" w:fill="FFFFFF"/>
          </w:tcPr>
          <w:p>
            <w:r>
              <w:rPr>
                <w:color w:val="111111"/>
                <w:sz w:val="18"/>
              </w:rPr>
              <w:t>3</w:t>
            </w:r>
          </w:p>
        </w:tc>
        <w:tc>
          <w:tcPr>
            <w:tcW w:type="dxa" w:w="2592"/>
            <w:shd w:val="clear" w:color="auto" w:fill="FFFFFF"/>
          </w:tcPr>
          <w:p>
            <w:r>
              <w:rPr>
                <w:color w:val="111111"/>
                <w:sz w:val="18"/>
              </w:rPr>
              <w:t>Bivariate Poisson</w:t>
            </w:r>
          </w:p>
        </w:tc>
        <w:tc>
          <w:tcPr>
            <w:tcW w:type="dxa" w:w="5760"/>
            <w:shd w:val="clear" w:color="auto" w:fill="FFFFFF"/>
          </w:tcPr>
          <w:p>
            <w:r>
              <w:rPr>
                <w:color w:val="111111"/>
                <w:sz w:val="18"/>
              </w:rPr>
              <w:t>Shared intensity lambda_3 = 0.170. Current log-loss champion.</w:t>
            </w:r>
          </w:p>
        </w:tc>
      </w:tr>
      <w:tr>
        <w:tc>
          <w:tcPr>
            <w:tcW w:type="dxa" w:w="576"/>
            <w:shd w:val="clear" w:color="auto" w:fill="F0F0F0"/>
          </w:tcPr>
          <w:p>
            <w:r>
              <w:rPr>
                <w:color w:val="111111"/>
                <w:sz w:val="18"/>
              </w:rPr>
              <w:t>4</w:t>
            </w:r>
          </w:p>
        </w:tc>
        <w:tc>
          <w:tcPr>
            <w:tcW w:type="dxa" w:w="2592"/>
            <w:shd w:val="clear" w:color="auto" w:fill="F0F0F0"/>
          </w:tcPr>
          <w:p>
            <w:r>
              <w:rPr>
                <w:color w:val="111111"/>
                <w:sz w:val="18"/>
              </w:rPr>
              <w:t>Weibull Copula</w:t>
            </w:r>
          </w:p>
        </w:tc>
        <w:tc>
          <w:tcPr>
            <w:tcW w:type="dxa" w:w="5760"/>
            <w:shd w:val="clear" w:color="auto" w:fill="F0F0F0"/>
          </w:tcPr>
          <w:p>
            <w:r>
              <w:rPr>
                <w:color w:val="111111"/>
                <w:sz w:val="18"/>
              </w:rPr>
              <w:t>Heavier tails than Poisson. More high-scoring outliers.</w:t>
            </w:r>
          </w:p>
        </w:tc>
      </w:tr>
      <w:tr>
        <w:tc>
          <w:tcPr>
            <w:tcW w:type="dxa" w:w="576"/>
            <w:shd w:val="clear" w:color="auto" w:fill="FFFFFF"/>
          </w:tcPr>
          <w:p>
            <w:r>
              <w:rPr>
                <w:color w:val="111111"/>
                <w:sz w:val="18"/>
              </w:rPr>
              <w:t>5</w:t>
            </w:r>
          </w:p>
        </w:tc>
        <w:tc>
          <w:tcPr>
            <w:tcW w:type="dxa" w:w="2592"/>
            <w:shd w:val="clear" w:color="auto" w:fill="FFFFFF"/>
          </w:tcPr>
          <w:p>
            <w:r>
              <w:rPr>
                <w:color w:val="111111"/>
                <w:sz w:val="18"/>
              </w:rPr>
              <w:t>Negative Binomial</w:t>
            </w:r>
          </w:p>
        </w:tc>
        <w:tc>
          <w:tcPr>
            <w:tcW w:type="dxa" w:w="5760"/>
            <w:shd w:val="clear" w:color="auto" w:fill="FFFFFF"/>
          </w:tcPr>
          <w:p>
            <w:r>
              <w:rPr>
                <w:color w:val="111111"/>
                <w:sz w:val="18"/>
              </w:rPr>
              <w:t>Overdispersion: variance &gt; mean. Common in real football data.</w:t>
            </w:r>
          </w:p>
        </w:tc>
      </w:tr>
      <w:tr>
        <w:tc>
          <w:tcPr>
            <w:tcW w:type="dxa" w:w="576"/>
            <w:shd w:val="clear" w:color="auto" w:fill="F0F0F0"/>
          </w:tcPr>
          <w:p>
            <w:r>
              <w:rPr>
                <w:color w:val="111111"/>
                <w:sz w:val="18"/>
              </w:rPr>
              <w:t>6</w:t>
            </w:r>
          </w:p>
        </w:tc>
        <w:tc>
          <w:tcPr>
            <w:tcW w:type="dxa" w:w="2592"/>
            <w:shd w:val="clear" w:color="auto" w:fill="F0F0F0"/>
          </w:tcPr>
          <w:p>
            <w:r>
              <w:rPr>
                <w:color w:val="111111"/>
                <w:sz w:val="18"/>
              </w:rPr>
              <w:t>Zero-Inflated Poisson</w:t>
            </w:r>
          </w:p>
        </w:tc>
        <w:tc>
          <w:tcPr>
            <w:tcW w:type="dxa" w:w="5760"/>
            <w:shd w:val="clear" w:color="auto" w:fill="F0F0F0"/>
          </w:tcPr>
          <w:p>
            <w:r>
              <w:rPr>
                <w:color w:val="111111"/>
                <w:sz w:val="18"/>
              </w:rPr>
              <w:t>Excess 0-0 draws beyond what Poisson predicts.</w:t>
            </w:r>
          </w:p>
        </w:tc>
      </w:tr>
    </w:tbl>
    <w:p>
      <w:pPr>
        <w:spacing w:before="0" w:after="160"/>
      </w:pPr>
    </w:p>
    <w:p>
      <w:pPr>
        <w:keepNext/>
        <w:spacing w:before="360" w:after="60"/>
        <w:keepWithNext/>
        <w:keepLines/>
        <w:pBdr>
          <w:bottom w:val="single" w:sz="6" w:space="3" w:color="D4AF37"/>
        </w:pBdr>
      </w:pPr>
      <w:r>
        <w:rPr>
          <w:b/>
          <w:color w:val="111111"/>
          <w:sz w:val="28"/>
        </w:rPr>
        <w:t>Step 3: Market Reconciliation (SLSQP Optimization)</w:t>
      </w:r>
    </w:p>
    <w:p>
      <w:pPr>
        <w:spacing w:before="0" w:after="140"/>
        <w:jc w:val="both"/>
      </w:pPr>
      <w:r>
        <w:rPr>
          <w:color w:val="111111"/>
          <w:sz w:val="20"/>
        </w:rPr>
        <w:t>Even the Bivariate Poisson cannot know about a goalkeeper injury announced 90 minutes before kickoff. Market reconciliation solves this. For each match, the model extracts fair market probabilities from all available bookmakers after SHIN normalization across as many market types as the API carries: 1X2, Over/Under 0.5 through 6.5, BTTS, Draw No Bet, Double Chance, and correct score lines.</w:t>
      </w:r>
    </w:p>
    <w:p>
      <w:pPr>
        <w:spacing w:before="0" w:after="140"/>
        <w:jc w:val="both"/>
      </w:pPr>
      <w:r>
        <w:rPr>
          <w:color w:val="111111"/>
          <w:sz w:val="20"/>
        </w:rPr>
        <w:t>A constrained optimization algorithm -- SLSQP (Sequential Least Squares Programming) -- then adjusts the parametric PMF grid to satisfy these market constraints while minimizing KL divergence from the original distribution. KL divergence measures how far the adjusted distribution has moved from the starting point, ensuring the optimizer only moves as far as the market evidence requires. Constraints are hard: all cell values must be non-negative and sum to 1.0.</w:t>
      </w:r>
    </w:p>
    <w:p>
      <w:pPr>
        <w:spacing w:before="0" w:after="140"/>
        <w:jc w:val="both"/>
      </w:pPr>
      <w:r>
        <w:rPr>
          <w:color w:val="111111"/>
          <w:sz w:val="20"/>
        </w:rPr>
        <w:t>When SLSQP converges to a better solution than a simple weighted-average blend, SLSQP is used. In practice, SLSQP dominates for virtually all matches -- currently only 1 non-convergence out of 63 matches, and even that case passes the plausibility check.</w:t>
      </w:r>
    </w:p>
    <w:p>
      <w:pPr>
        <w:keepNext/>
        <w:spacing w:before="360" w:after="60"/>
        <w:keepWithNext/>
        <w:keepLines/>
        <w:pBdr>
          <w:bottom w:val="single" w:sz="6" w:space="3" w:color="D4AF37"/>
        </w:pBdr>
      </w:pPr>
      <w:r>
        <w:rPr>
          <w:b/>
          <w:color w:val="111111"/>
          <w:sz w:val="28"/>
        </w:rPr>
        <w:t>Step 4: Calibration (Temperature Scaling)</w:t>
      </w:r>
    </w:p>
    <w:p>
      <w:pPr>
        <w:spacing w:before="0" w:after="140"/>
        <w:jc w:val="both"/>
      </w:pPr>
      <w:r>
        <w:rPr>
          <w:color w:val="111111"/>
          <w:sz w:val="20"/>
        </w:rPr>
        <w:t>A model is calibrated when the probabilities it outputs match observed frequencies. When it says 30%, outcomes should occur 30% of the time. Calibration is distinct from accuracy -- an overconfident model assigns 80% to outcomes that only occur 65% of the time.</w:t>
      </w:r>
    </w:p>
    <w:p>
      <w:pPr>
        <w:spacing w:before="0" w:after="140"/>
        <w:jc w:val="both"/>
      </w:pPr>
      <w:r>
        <w:rPr>
          <w:color w:val="111111"/>
          <w:sz w:val="20"/>
        </w:rPr>
        <w:t>The model uses temperature scaling: a single parameter T fitted by minimizing exact-score log loss on out-of-sample predictions from the 2018 and 2022 World Cups. The calibrated probability for each cell is:</w:t>
      </w:r>
    </w:p>
    <w:p>
      <w:pPr>
        <w:spacing w:before="80" w:after="120"/>
        <w:ind w:left="432" w:right="432"/>
        <w:shd w:val="clear" w:color="auto" w:fill="EEF2FF"/>
      </w:pPr>
      <w:r>
        <w:rPr>
          <w:rFonts w:ascii="Courier New" w:hAnsi="Courier New"/>
          <w:color w:val="1A2060"/>
          <w:sz w:val="18"/>
        </w:rPr>
        <w:t>p_calibrated[h,a]  proportional to  p_raw[h,a] ^ (1/T)</w:t>
        <w:br/>
        <w:br/>
        <w:t>Then renormalized so all cells sum to 1.0.</w:t>
        <w:br/>
        <w:br/>
        <w:t>Current calibrated temperature: T = 1.089</w:t>
        <w:br/>
        <w:t>(T &gt; 1 flattens the distribution, correcting for mild overconfidence)</w:t>
      </w:r>
    </w:p>
    <w:p>
      <w:pPr>
        <w:spacing w:before="0" w:after="140"/>
        <w:jc w:val="both"/>
      </w:pPr>
      <w:r>
        <w:rPr>
          <w:color w:val="111111"/>
          <w:sz w:val="20"/>
        </w:rPr>
        <w:t>Five calibration metrics are evaluated on out-of-sample predictions only: exact-score negative log-likelihood (primary metric), Ranked Probability Score for 1X2, multiclass Brier score, Expected Calibration Error, and the ignorance score. T = 1.089 indicates the model is mildly overconfident -- a common pattern in football models trained on limited data -- and the temperature correction is a modest fine-tuning rather than a major revision.</w:t>
      </w:r>
    </w:p>
    <w:p>
      <w:pPr>
        <w:keepNext/>
        <w:spacing w:before="360" w:after="60"/>
        <w:keepWithNext/>
        <w:keepLines/>
        <w:pBdr>
          <w:bottom w:val="single" w:sz="6" w:space="3" w:color="D4AF37"/>
        </w:pBdr>
      </w:pPr>
      <w:r>
        <w:rPr>
          <w:b/>
          <w:color w:val="111111"/>
          <w:sz w:val="28"/>
        </w:rPr>
        <w:t>Step 5: Edge Screening and Kelly Sizing</w:t>
      </w:r>
    </w:p>
    <w:p>
      <w:pPr>
        <w:spacing w:before="0" w:after="140"/>
        <w:jc w:val="both"/>
      </w:pPr>
      <w:r>
        <w:rPr>
          <w:color w:val="111111"/>
          <w:sz w:val="20"/>
        </w:rPr>
        <w:t>With a calibrated PMF for each match, the model compares its probability estimates against the bookmaker's no-vig prices. An edge exists when the model's estimate is higher than the market's:</w:t>
      </w:r>
    </w:p>
    <w:p>
      <w:pPr>
        <w:spacing w:before="80" w:after="120"/>
        <w:ind w:left="432" w:right="432"/>
        <w:shd w:val="clear" w:color="auto" w:fill="EEF2FF"/>
      </w:pPr>
      <w:r>
        <w:rPr>
          <w:rFonts w:ascii="Courier New" w:hAnsi="Courier New"/>
          <w:color w:val="1A2060"/>
          <w:sz w:val="18"/>
        </w:rPr>
        <w:t>Edge = (Model probability - Market implied probability) / Market implied probability</w:t>
      </w:r>
    </w:p>
    <w:p>
      <w:pPr>
        <w:spacing w:before="0" w:after="140"/>
        <w:jc w:val="both"/>
      </w:pPr>
      <w:r>
        <w:rPr>
          <w:color w:val="111111"/>
          <w:sz w:val="20"/>
        </w:rPr>
        <w:t>A market is flagged as a value opportunity only when all three conditions hold simultaneously:</w:t>
      </w:r>
    </w:p>
    <w:p>
      <w:pPr>
        <w:pStyle w:val="ListBullet"/>
        <w:spacing w:before="20" w:after="40"/>
        <w:ind w:left="432"/>
      </w:pPr>
      <w:r>
        <w:rPr>
          <w:color w:val="111111"/>
          <w:sz w:val="20"/>
        </w:rPr>
        <w:t>Edge &gt;= 4% (minimum threshold for signal above estimation noise)</w:t>
      </w:r>
    </w:p>
    <w:p>
      <w:pPr>
        <w:pStyle w:val="ListBullet"/>
        <w:spacing w:before="20" w:after="40"/>
        <w:ind w:left="432"/>
      </w:pPr>
      <w:r>
        <w:rPr>
          <w:color w:val="111111"/>
          <w:sz w:val="20"/>
        </w:rPr>
        <w:t>90% confidence interval lower bound still exceeds market implied probability. CI computed by varying each team's lambda by +/- 12% and measuring the resulting range of PMF probabilities.</w:t>
      </w:r>
    </w:p>
    <w:p>
      <w:pPr>
        <w:pStyle w:val="ListBullet"/>
        <w:spacing w:before="20" w:after="40"/>
        <w:ind w:left="432"/>
      </w:pPr>
      <w:r>
        <w:rPr>
          <w:color w:val="111111"/>
          <w:sz w:val="20"/>
        </w:rPr>
        <w:t>Market implied probability &gt; 2% (excludes thin liquidity markets)</w:t>
      </w:r>
    </w:p>
    <w:p>
      <w:pPr>
        <w:spacing w:before="0" w:after="140"/>
        <w:jc w:val="both"/>
      </w:pPr>
      <w:r>
        <w:rPr>
          <w:color w:val="111111"/>
          <w:sz w:val="20"/>
        </w:rPr>
        <w:t>Bets passing all three filters are sized using the Kelly criterion:</w:t>
      </w:r>
    </w:p>
    <w:p>
      <w:pPr>
        <w:spacing w:before="80" w:after="120"/>
        <w:ind w:left="432" w:right="432"/>
        <w:shd w:val="clear" w:color="auto" w:fill="EEF2FF"/>
      </w:pPr>
      <w:r>
        <w:rPr>
          <w:rFonts w:ascii="Courier New" w:hAnsi="Courier New"/>
          <w:color w:val="1A2060"/>
          <w:sz w:val="18"/>
        </w:rPr>
        <w:t>Full Kelly:   f* = Edge / (Decimal odds - 1)</w:t>
        <w:br/>
        <w:t>Half Kelly:   f* / 2    [default -- recommended]</w:t>
        <w:br/>
        <w:t>Hard cap:     5% of bankroll regardless of computed value</w:t>
      </w:r>
    </w:p>
    <w:p>
      <w:pPr>
        <w:keepNext/>
        <w:spacing w:before="360" w:after="60"/>
        <w:keepWithNext/>
        <w:keepLines/>
        <w:pBdr>
          <w:bottom w:val="single" w:sz="6" w:space="3" w:color="D4AF37"/>
        </w:pBdr>
      </w:pPr>
      <w:r>
        <w:rPr>
          <w:b/>
          <w:color w:val="111111"/>
          <w:sz w:val="28"/>
        </w:rPr>
        <w:t>Step 6: Closing Line Value (CLV) -- The Edge Litmus Test</w:t>
      </w:r>
    </w:p>
    <w:p>
      <w:pPr>
        <w:spacing w:before="0" w:after="140"/>
        <w:jc w:val="both"/>
      </w:pPr>
      <w:r>
        <w:rPr>
          <w:color w:val="111111"/>
          <w:sz w:val="20"/>
        </w:rPr>
        <w:t>Counting wins and losses is a poor way to evaluate a prediction model. The industry-standard measure that strips luck away from skill is Closing Line Value, or CLV.</w:t>
      </w:r>
    </w:p>
    <w:p>
      <w:pPr>
        <w:spacing w:before="0" w:after="140"/>
        <w:jc w:val="both"/>
      </w:pPr>
      <w:r>
        <w:rPr>
          <w:color w:val="111111"/>
          <w:sz w:val="20"/>
        </w:rPr>
        <w:t>The closing line is the bookmaker's final odds immediately before kickoff -- specifically the no-vig probability after removing the bookmaker margin. This represents the market's best collective estimate of the true probability, having absorbed every piece of publicly available information.</w:t>
      </w:r>
    </w:p>
    <w:p>
      <w:pPr>
        <w:spacing w:before="0" w:after="140"/>
        <w:jc w:val="both"/>
      </w:pPr>
      <w:r>
        <w:rPr>
          <w:color w:val="111111"/>
          <w:sz w:val="20"/>
        </w:rPr>
        <w:t>A model that consistently beats the closing line across a large sample is not getting lucky. It is providing information the market was slow to price in. Consistently losing to the closing line means the market was consistently smarter than the model, and the positive edges were illusions.</w:t>
      </w:r>
    </w:p>
    <w:p>
      <w:pPr>
        <w:spacing w:before="0" w:after="140"/>
        <w:jc w:val="both"/>
      </w:pPr>
      <w:r>
        <w:rPr>
          <w:color w:val="111111"/>
          <w:sz w:val="20"/>
        </w:rPr>
        <w:t>For every scheduled match the model tracks 15 markets: the three 1X2 outcomes, BTTS Yes and No, Over/Under at 0.5, 1.5, 2.5, 3.5, 4.5, 5.5, and 6.5 goals. Closing odds are captured automatically at T-3 minutes before each kickoff via a dedicated pre-match pipeline.</w:t>
      </w:r>
    </w:p>
    <w:p>
      <w:pPr>
        <w:keepNext/>
        <w:spacing w:before="360" w:after="60"/>
        <w:keepWithNext/>
        <w:keepLines/>
        <w:pBdr>
          <w:bottom w:val="single" w:sz="6" w:space="3" w:color="D4AF37"/>
        </w:pBdr>
      </w:pPr>
      <w:r>
        <w:rPr>
          <w:b/>
          <w:color w:val="111111"/>
          <w:sz w:val="28"/>
        </w:rPr>
        <w:t>The Automated Pipeline: A Living System</w:t>
      </w:r>
    </w:p>
    <w:p>
      <w:pPr>
        <w:spacing w:before="0" w:after="140"/>
        <w:jc w:val="both"/>
      </w:pPr>
      <w:r>
        <w:rPr>
          <w:color w:val="111111"/>
          <w:sz w:val="20"/>
        </w:rPr>
        <w:t>Every stage described above runs automatically, without human intervention, around the clock:</w:t>
      </w:r>
    </w:p>
    <w:p>
      <w:pPr>
        <w:pStyle w:val="ListBullet"/>
        <w:spacing w:before="20" w:after="40"/>
        <w:ind w:left="432"/>
      </w:pPr>
      <w:r>
        <w:rPr>
          <w:color w:val="111111"/>
          <w:sz w:val="20"/>
        </w:rPr>
        <w:t>8:00 AM UTC -- Daily retraining</w:t>
      </w:r>
    </w:p>
    <w:p>
      <w:pPr>
        <w:spacing w:before="0" w:after="80"/>
        <w:jc w:val="both"/>
      </w:pPr>
      <w:r>
        <w:rPr>
          <w:color w:val="111111"/>
          <w:sz w:val="20"/>
        </w:rPr>
        <w:t>Full data fetch from BallDontLie API: match results, bookmaker odds from up to 6 vendors, team statistics, expected goals, shot data, match events, and group standings. All six parametric models retrained. Composite prior rebuilt. Predictions regenerated for every upcoming fixture. Calibration metrics logged. Updated JSONs deployed to the WizardOfOdds server.</w:t>
      </w:r>
    </w:p>
    <w:p>
      <w:pPr>
        <w:pStyle w:val="ListBullet"/>
        <w:spacing w:before="20" w:after="40"/>
        <w:ind w:left="432"/>
      </w:pPr>
      <w:r>
        <w:rPr>
          <w:color w:val="111111"/>
          <w:sz w:val="20"/>
        </w:rPr>
        <w:t>Hourly -- Odds refresh and CLV tracking</w:t>
      </w:r>
    </w:p>
    <w:p>
      <w:pPr>
        <w:spacing w:before="0" w:after="80"/>
        <w:jc w:val="both"/>
      </w:pPr>
      <w:r>
        <w:rPr>
          <w:color w:val="111111"/>
          <w:sz w:val="20"/>
        </w:rPr>
        <w:t>Lighter refresh capturing odds movements, updating CLV records, and re-running predictions if newly completed matches have appeared since the daily run.</w:t>
      </w:r>
    </w:p>
    <w:p>
      <w:pPr>
        <w:pStyle w:val="ListBullet"/>
        <w:spacing w:before="20" w:after="40"/>
        <w:ind w:left="432"/>
      </w:pPr>
      <w:r>
        <w:rPr>
          <w:color w:val="111111"/>
          <w:sz w:val="20"/>
        </w:rPr>
        <w:t>Every 2 minutes during match hours (9 AM - 3 AM ET) -- Live snapshots</w:t>
      </w:r>
    </w:p>
    <w:p>
      <w:pPr>
        <w:spacing w:before="0" w:after="80"/>
        <w:jc w:val="both"/>
      </w:pPr>
      <w:r>
        <w:rPr>
          <w:color w:val="111111"/>
          <w:sz w:val="20"/>
        </w:rPr>
        <w:t>During match hours a live snapshot pipeline runs every 2 minutes. When a match is detected in progress, the pipeline self-chains -- each completed run immediately triggers the next -- ensuring near-continuous updates.</w:t>
      </w:r>
    </w:p>
    <w:p>
      <w:pPr>
        <w:pStyle w:val="ListBullet"/>
        <w:spacing w:before="20" w:after="40"/>
        <w:ind w:left="432"/>
      </w:pPr>
      <w:r>
        <w:rPr>
          <w:color w:val="111111"/>
          <w:sz w:val="20"/>
        </w:rPr>
        <w:t>T-3 minutes before kickoff -- Closing odds capture</w:t>
      </w:r>
    </w:p>
    <w:p>
      <w:pPr>
        <w:spacing w:before="0" w:after="140"/>
        <w:jc w:val="both"/>
      </w:pPr>
      <w:r>
        <w:rPr>
          <w:color w:val="111111"/>
          <w:sz w:val="20"/>
        </w:rPr>
        <w:t>A dedicated watcher checks the schedule every 15 minutes. When a match is within 15 minutes, it sleeps until exactly 3 minutes before kickoff, fetches final market odds across all 15 tracked markets, applies SHIN normalization, records closing probabilities, and commits updated CLV records.</w:t>
      </w:r>
    </w:p>
    <w:p>
      <w:pPr>
        <w:keepNext/>
        <w:spacing w:before="360" w:after="60"/>
        <w:keepWithNext/>
        <w:keepLines/>
        <w:pBdr>
          <w:bottom w:val="single" w:sz="6" w:space="3" w:color="D4AF37"/>
        </w:pBdr>
      </w:pPr>
      <w:r>
        <w:rPr>
          <w:b/>
          <w:color w:val="111111"/>
          <w:sz w:val="28"/>
        </w:rPr>
        <w:t>Honest Limitations</w:t>
      </w:r>
    </w:p>
    <w:p>
      <w:pPr>
        <w:pStyle w:val="ListBullet"/>
        <w:spacing w:before="20" w:after="40"/>
        <w:ind w:left="432"/>
      </w:pPr>
      <w:r>
        <w:rPr>
          <w:color w:val="111111"/>
          <w:sz w:val="20"/>
        </w:rPr>
        <w:t>Regulation time only. All probabilities cover 90 minutes plus stoppage time. Extra time and penalty shootouts are not modeled.</w:t>
      </w:r>
    </w:p>
    <w:p>
      <w:pPr>
        <w:pStyle w:val="ListBullet"/>
        <w:spacing w:before="20" w:after="40"/>
        <w:ind w:left="432"/>
      </w:pPr>
      <w:r>
        <w:rPr>
          <w:color w:val="111111"/>
          <w:sz w:val="20"/>
        </w:rPr>
        <w:t>lambda_3 = 0.170 is an average across match types. A match in stoppage time with a team pressing for an equalizer has dramatically different dynamics than a settled 3-0. The pre-game model uses a global calibrated value; the live model accounts for this via score-state multipliers.</w:t>
      </w:r>
    </w:p>
    <w:p>
      <w:pPr>
        <w:pStyle w:val="ListBullet"/>
        <w:spacing w:before="20" w:after="40"/>
        <w:ind w:left="432"/>
      </w:pPr>
      <w:r>
        <w:rPr>
          <w:color w:val="111111"/>
          <w:sz w:val="20"/>
        </w:rPr>
        <w:t>11 completed WC2026 matches is still a small sample. lambda_3, the calibration temperature T, and the dynamic WC_AVG scaling factor will all stabilize as the tournament progresses.</w:t>
      </w:r>
    </w:p>
    <w:p>
      <w:pPr>
        <w:pStyle w:val="ListBullet"/>
        <w:spacing w:before="20" w:after="40"/>
        <w:ind w:left="432"/>
      </w:pPr>
      <w:r>
        <w:rPr>
          <w:color w:val="111111"/>
          <w:sz w:val="20"/>
        </w:rPr>
        <w:t>Lambda uncertainty is fixed at +/- 12% for all teams. Per-team confidence intervals would require a fully Bayesian treatment.</w:t>
      </w:r>
    </w:p>
    <w:p>
      <w:pPr>
        <w:pStyle w:val="ListBullet"/>
        <w:spacing w:before="20" w:after="40"/>
        <w:ind w:left="432"/>
      </w:pPr>
      <w:r>
        <w:rPr>
          <w:color w:val="111111"/>
          <w:sz w:val="20"/>
        </w:rPr>
        <w:t>Odds move between prediction time and kickoff. Edge estimates are calculated at the time the pipeline runs. Always verify current odds at your book before acting.</w:t>
      </w:r>
    </w:p>
    <w:p>
      <w:pPr>
        <w:pStyle w:val="ListBullet"/>
        <w:spacing w:before="20" w:after="40"/>
        <w:ind w:left="432"/>
      </w:pPr>
      <w:r>
        <w:rPr>
          <w:color w:val="111111"/>
          <w:sz w:val="20"/>
        </w:rPr>
        <w:t>Positive expected value does not guarantee positive returns in any finite sample. Even a well-calibrated model with genuine edge will experience losing streaks.</w:t>
      </w:r>
    </w:p>
    <w:p>
      <w:pPr>
        <w:spacing w:before="0" w:after="240"/>
      </w:pPr>
    </w:p>
    <w:p>
      <w:pPr>
        <w:spacing w:before="320"/>
        <w:jc w:val="center"/>
      </w:pPr>
      <w:r>
        <w:rPr>
          <w:i/>
          <w:color w:val="555555"/>
          <w:sz w:val="16"/>
        </w:rPr>
        <w:t>All probabilities represent regulation time (90 minutes + stoppage time) only. Extra time and penalties are excluded. This article is for informational and educational purposes. Please gamble responsibly. WizardOfOdds.com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