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0.235.0 · migração 0251"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cinco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92"/>
        <w:gridCol w:w="6746"/>
      </w:tblGrid>
      <w:tr>
        <w:trPr>
          <w:tblHeader/>
        </w:trPr>
        <w:tc>
          <w:tcPr>
            <w:tcW w:type="dxa" w:w="289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7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89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7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89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7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89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7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</w:t>
            </w:r>
            <w:r>
              <w:rPr>
                <w:color w:val="23293D"/>
                <w:sz w:val="20"/>
                <w:szCs w:val="20"/>
              </w:rPr>
              <w:t xml:space="preserve"> do sistema (financeiro e estoque)</w:t>
            </w:r>
          </w:p>
        </w:tc>
      </w:tr>
      <w:tr>
        <w:tc>
          <w:tcPr>
            <w:tcW w:type="dxa" w:w="289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7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o formulário direto</w:t>
            </w:r>
          </w:p>
        </w:tc>
      </w:tr>
      <w:tr>
        <w:tc>
          <w:tcPr>
            <w:tcW w:type="dxa" w:w="289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7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Sistema, acima das abas,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2026-09-09T00:55:51.670Z</dcterms:created>
  <dcterms:modified xsi:type="dcterms:W3CDTF">2026-09-09T00:55:51.670Z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