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23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245"/>
        <w:gridCol w:w="5393"/>
      </w:tblGrid>
      <w:tr>
        <w:trPr>
          <w:tblHeader/>
        </w:trPr>
        <w:tc>
          <w:tcPr>
            <w:tcW w:type="dxa" w:w="42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3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2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3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2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3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2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3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2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3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Valores em R$ só para a gestão.</w:t>
            </w:r>
            <w:r>
              <w:rPr>
                <w:color w:val="23293D"/>
                <w:sz w:val="21"/>
                <w:szCs w:val="21"/>
              </w:rPr>
              <w:t xml:space="preserve"> Numa meta de dinheiro (vendas, ticket médio),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</w:t>
            </w:r>
            <w:r>
              <w:rPr>
                <w:color w:val="23293D"/>
                <w:sz w:val="21"/>
                <w:szCs w:val="21"/>
              </w:rPr>
              <w:t xml:space="preserve">, com o aviso "Valores em R$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837"/>
        <w:gridCol w:w="3614"/>
        <w:gridCol w:w="3187"/>
      </w:tblGrid>
      <w:tr>
        <w:trPr>
          <w:tblHeader/>
        </w:trPr>
        <w:tc>
          <w:tcPr>
            <w:tcW w:type="dxa" w:w="28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6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31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28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6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31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28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6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31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28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6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31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28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6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31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28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6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31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28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6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31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28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6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31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28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6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31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28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6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31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28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6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31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28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6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31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Indicadores financeiros (receita, inadimplência, margem, ponto de equilíbrio), de programas (Indica +Risos, Empresarial) e de cadeira (ocupação, tempo ocioso) chegam nas próximas etapas.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EV-184 e EV-185.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2026-10-23T17:40:51.152Z</dcterms:created>
  <dcterms:modified xsi:type="dcterms:W3CDTF">2026-10-23T17:40:51.152Z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