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total de referência é só para conferir (preço padrão da rede, um de cada): o grupo </w:t>
      </w:r>
      <w:r>
        <w:rPr>
          <w:b/>
          <w:bCs/>
          <w:color w:val="23293D"/>
          <w:sz w:val="21"/>
          <w:szCs w:val="21"/>
        </w:rPr>
        <w:t xml:space="preserve">não tem preço próprio</w:t>
      </w:r>
      <w:r>
        <w:rPr>
          <w:color w:val="23293D"/>
          <w:sz w:val="21"/>
          <w:szCs w:val="21"/>
        </w:rPr>
        <w:t xml:space="preserve"> — no plano vale o preço do catálogo da unidade, item por item.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2026-10-27T17:29:35.211Z</dcterms:created>
  <dcterms:modified xsi:type="dcterms:W3CDTF">2026-10-27T17:29:35.211Z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