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quanto há a receber, quanto já venceu (com multa e juros),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 é o quadro comercial de 8 fases (da captação à implantação) — clicar no nome da empresa abre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levantamento, a simulação da proposta, a apresentação em PDF, o registro do envio e, no fechamento, a conferência do consultor e os passos da implantação</w:t>
            </w:r>
            <w:r>
              <w:rPr>
                <w:color w:val="23293D"/>
                <w:sz w:val="20"/>
                <w:szCs w:val="20"/>
              </w:rPr>
              <w:t xml:space="preserve"> —,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 reúne as reuniões do programa,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 as de todas as empresas,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 é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2026-09-14T21:30:29.014Z</dcterms:created>
  <dcterms:modified xsi:type="dcterms:W3CDTF">2026-09-14T21:30:29.014Z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