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Marcar como perdido não tem volta pela tela.</w:t>
      </w:r>
      <w:r>
        <w:rPr>
          <w:color w:val="23293D"/>
          <w:sz w:val="21"/>
          <w:szCs w:val="21"/>
        </w:rPr>
        <w:t xml:space="preserve"> A empresa sai do funil e &gt; não há botão para trazê-la de novo. O motivo é obrigatório — é essa lista &gt; que mostra o que corrigir na oferta.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, na janela do card — ou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, na aba </w:t>
      </w:r>
      <w:r>
        <w:rPr>
          <w:b/>
          <w:b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ficha, quando os dois selos já levaram a empresa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2026-10-13T20:18:01.208Z</dcterms:created>
  <dcterms:modified xsi:type="dcterms:W3CDTF">2026-10-13T20:18:01.208Z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