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Atenção:</w:t>
            </w:r>
            <w:r>
              <w:rPr>
                <w:color w:val="23293D"/>
                <w:sz w:val="21"/>
                <w:szCs w:val="21"/>
              </w:rPr>
              <w:t xml:space="preserve"> no alerta da negociação a conta não inclui a hora de cadeira nem o imposto — o mesmo percentual é mais fácil de cumprir lá do que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2026-10-27T22:27:25.051Z</dcterms:created>
  <dcterms:modified xsi:type="dcterms:W3CDTF">2026-10-27T22:27:25.051Z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