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14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quanto há a receber, quanto já venceu (com multa e juros),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</w:t>
            </w:r>
            <w:r>
              <w:rPr>
                <w:color w:val="23293D"/>
                <w:sz w:val="20"/>
                <w:szCs w:val="20"/>
              </w:rPr>
              <w:t xml:space="preserve"> — relatar e acompanhar; abre o formulário direto.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 — e some assim que você abre a tela de Problemas.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 (Problemas)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esta tela.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2026-09-14T23:07:41.378Z</dcterms:created>
  <dcterms:modified xsi:type="dcterms:W3CDTF">2026-09-14T23:07:41.378Z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