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ficha. Dentro dela, registre </w:t>
      </w:r>
      <w:r>
        <w:rPr>
          <w:b/>
          <w:bCs/>
          <w:color w:val="23293D"/>
          <w:sz w:val="21"/>
          <w:szCs w:val="21"/>
        </w:rPr>
        <w:t xml:space="preserve">nota/ligação</w:t>
      </w:r>
      <w:r>
        <w:rPr>
          <w:color w:val="23293D"/>
          <w:sz w:val="21"/>
          <w:szCs w:val="21"/>
        </w:rPr>
        <w:t xml:space="preserve"> na linha do tempo — é o histórico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cinco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3/7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desfecho, e os passos da implantação. Empresa </w:t>
      </w: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também abre aqui — é onde está a resposta, e abrir no levantamento sugeriria que ainda há o que preencher.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904"/>
        <w:gridCol w:w="3147"/>
        <w:gridCol w:w="5587"/>
      </w:tblGrid>
      <w:tr>
        <w:trPr>
          <w:tblHeader/>
        </w:trPr>
        <w:tc>
          <w:tcPr>
            <w:tcW w:type="dxa" w:w="9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1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5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 — o mesmo valor da mensalidade, cobrado ao iniciar o programa. Não se negocia à parte, e a proposta não tem mais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linha do tempo do lead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 dos titulares </w:t>
      </w:r>
      <w:r>
        <w:rPr>
          <w:b/>
          <w:bCs/>
          <w:color w:val="23293D"/>
          <w:sz w:val="21"/>
          <w:szCs w:val="21"/>
        </w:rPr>
        <w:t xml:space="preserve">ativos</w:t>
      </w:r>
      <w:r>
        <w:rPr>
          <w:color w:val="23293D"/>
          <w:sz w:val="21"/>
          <w:szCs w:val="21"/>
        </w:rPr>
        <w:t xml:space="preserve">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essa sim, só é gerada com titulares ativos: são perguntas diferentes.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73"/>
        <w:gridCol w:w="3283"/>
        <w:gridCol w:w="3282"/>
      </w:tblGrid>
      <w:tr>
        <w:trPr>
          <w:tblHeader/>
        </w:trPr>
        <w:tc>
          <w:tcPr>
            <w:tcW w:type="dxa" w:w="307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2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2026-09-27T14:34:34.024Z</dcterms:created>
  <dcterms:modified xsi:type="dcterms:W3CDTF">2026-09-27T14:34:34.024Z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