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três partes, nesta ordem: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ao sistema</w:t>
      </w:r>
      <w:r>
        <w:rPr>
          <w:color w:val="23293D"/>
          <w:sz w:val="21"/>
          <w:szCs w:val="21"/>
        </w:rPr>
        <w:t xml:space="preserve"> — o e-mail de entrada, as funções por unidade, a senha provisória e os botões de ativar/desativar. </w:t>
      </w:r>
      <w:r>
        <w:rPr>
          <w:b/>
          <w:bCs/>
          <w:color w:val="23293D"/>
          <w:sz w:val="21"/>
          <w:szCs w:val="21"/>
        </w:rPr>
        <w:t xml:space="preserve">Só o Admin Master mexe aqui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— 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(ela pode ter parado em Londrina e continuar em Cambé)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</w:t>
      </w:r>
      <w:r>
        <w:rPr>
          <w:color w:val="23293D"/>
          <w:sz w:val="21"/>
          <w:szCs w:val="21"/>
        </w:rPr>
        <w:t xml:space="preserve"> — dados pessoais, contato, endereço, contrato e especialidades.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O acesso não é pedido aí — depois de salvar, a ficha abre com o botão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 (do Admin). Assim o cadastro nunca fica esperando um login.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2026-09-17T19:11:12.240Z</dcterms:created>
  <dcterms:modified xsi:type="dcterms:W3CDTF">2026-09-17T19:11:12.240Z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