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total de referência é só para conferir (preço padrão da rede, um de cada): o grupo </w:t>
      </w:r>
      <w:r>
        <w:rPr>
          <w:b/>
          <w:bCs/>
          <w:color w:val="23293D"/>
          <w:sz w:val="21"/>
          <w:szCs w:val="21"/>
        </w:rPr>
        <w:t xml:space="preserve">não tem preço próprio</w:t>
      </w:r>
      <w:r>
        <w:rPr>
          <w:color w:val="23293D"/>
          <w:sz w:val="21"/>
          <w:szCs w:val="21"/>
        </w:rPr>
        <w:t xml:space="preserve"> — no plano vale o preço do catálogo da unidade, item por item.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2026-10-27T04:12:09.348Z</dcterms:created>
  <dcterms:modified xsi:type="dcterms:W3CDTF">2026-10-27T04:12:09.348Z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