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total de referência é só para conferir (preço padrão da rede, um de cada): o grupo </w:t>
      </w:r>
      <w:r>
        <w:rPr>
          <w:b/>
          <w:bCs/>
          <w:color w:val="23293D"/>
          <w:sz w:val="21"/>
          <w:szCs w:val="21"/>
        </w:rPr>
        <w:t xml:space="preserve">não tem preço próprio</w:t>
      </w:r>
      <w:r>
        <w:rPr>
          <w:color w:val="23293D"/>
          <w:sz w:val="21"/>
          <w:szCs w:val="21"/>
        </w:rPr>
        <w:t xml:space="preserve"> — no plano vale o preço do catálogo da unidade, item por item.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2026-10-27T14:59:20.348Z</dcterms:created>
  <dcterms:modified xsi:type="dcterms:W3CDTF">2026-10-27T14:59:20.348Z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