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21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página de um relato</w:t>
      </w:r>
      <w:r>
        <w:rPr>
          <w:color w:val="23293D"/>
          <w:sz w:val="21"/>
          <w:szCs w:val="21"/>
        </w:rPr>
        <w:t xml:space="preserve"> (para acrescentar informação ou responder), o botão é </w:t>
      </w: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: "esta tela" ali seria a própria página do relato. Abra a tela do problema numa aba nova antes (botão direito no menu → </w:t>
      </w:r>
      <w:r>
        <w:rPr>
          <w:i/>
          <w:iCs/>
          <w:color w:val="23293D"/>
          <w:sz w:val="21"/>
          <w:szCs w:val="21"/>
        </w:rPr>
        <w:t xml:space="preserve">Abrir em nova aba</w:t>
      </w:r>
      <w:r>
        <w:rPr>
          <w:color w:val="23293D"/>
          <w:sz w:val="21"/>
          <w:szCs w:val="21"/>
        </w:rPr>
        <w:t xml:space="preserve">) e escolha essa aba na lista do navegador.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2026-09-21T17:09:19.107Z</dcterms:created>
  <dcterms:modified xsi:type="dcterms:W3CDTF">2026-09-21T17:09:19.107Z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