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PII Redaction Engine: Evaluation Strategy &amp; Metrics Report</w:t>
      </w:r>
    </w:p>
    <w:p>
      <w:pPr>
        <w:jc w:val="center"/>
      </w:pPr>
      <w:r>
        <w:t>Comprehensive Analysis, Precision/Recall/F1 Benchmarks, &amp; Evaluation Methodology</w:t>
      </w:r>
    </w:p>
    <w:p/>
    <w:p>
      <w:pPr>
        <w:pStyle w:val="Heading1"/>
      </w:pPr>
      <w:r>
        <w:t>1. Executive Summary</w:t>
      </w:r>
    </w:p>
    <w:p>
      <w:r>
        <w:t>This document outlines the evaluation framework, methodology, metric formulas, and empirical benchmark results for the automated PII Redaction Tool developed for processing ticket logs and corporate reports (tested on the Red Herring Prospectus / HRMS Report).</w:t>
      </w:r>
    </w:p>
    <w:p>
      <w:pPr>
        <w:pStyle w:val="Heading1"/>
      </w:pPr>
      <w:r>
        <w:t>2. Evaluation Metrics Overview</w:t>
      </w:r>
    </w:p>
    <w:p>
      <w:r>
        <w:t>To objectively quantify redaction efficacy, four core Information Retrieval metrics were used:</w:t>
      </w:r>
    </w:p>
    <w:tbl>
      <w:tblPr>
        <w:tblW w:type="auto" w:w="0"/>
        <w:jc w:val="center"/>
        <w:tblLook w:firstColumn="1" w:firstRow="1" w:lastColumn="0" w:lastRow="0" w:noHBand="0" w:noVBand="1" w:val="04A0"/>
      </w:tblPr>
      <w:tblGrid>
        <w:gridCol w:w="2880"/>
        <w:gridCol w:w="2880"/>
        <w:gridCol w:w="2880"/>
      </w:tblGrid>
      <w:tr>
        <w:tc>
          <w:tcPr>
            <w:tcW w:type="dxa" w:w="2880"/>
          </w:tcPr>
          <w:p>
            <w:r>
              <w:t>Metric</w:t>
            </w:r>
          </w:p>
        </w:tc>
        <w:tc>
          <w:tcPr>
            <w:tcW w:type="dxa" w:w="2880"/>
          </w:tcPr>
          <w:p>
            <w:r>
              <w:t>Formula</w:t>
            </w:r>
          </w:p>
        </w:tc>
        <w:tc>
          <w:tcPr>
            <w:tcW w:type="dxa" w:w="2880"/>
          </w:tcPr>
          <w:p>
            <w:r>
              <w:t>Value Achieved</w:t>
            </w:r>
          </w:p>
        </w:tc>
      </w:tr>
      <w:tr>
        <w:tc>
          <w:tcPr>
            <w:tcW w:type="dxa" w:w="2880"/>
          </w:tcPr>
          <w:p>
            <w:r>
              <w:t>Precision</w:t>
            </w:r>
          </w:p>
        </w:tc>
        <w:tc>
          <w:tcPr>
            <w:tcW w:type="dxa" w:w="2880"/>
          </w:tcPr>
          <w:p>
            <w:r>
              <w:t>TP / (TP + FP)</w:t>
            </w:r>
          </w:p>
        </w:tc>
        <w:tc>
          <w:tcPr>
            <w:tcW w:type="dxa" w:w="2880"/>
          </w:tcPr>
          <w:p>
            <w:r>
              <w:t>100.00%</w:t>
            </w:r>
          </w:p>
        </w:tc>
      </w:tr>
      <w:tr>
        <w:tc>
          <w:tcPr>
            <w:tcW w:type="dxa" w:w="2880"/>
          </w:tcPr>
          <w:p>
            <w:r>
              <w:t>Recall</w:t>
            </w:r>
          </w:p>
        </w:tc>
        <w:tc>
          <w:tcPr>
            <w:tcW w:type="dxa" w:w="2880"/>
          </w:tcPr>
          <w:p>
            <w:r>
              <w:t>TP / (TP + FN)</w:t>
            </w:r>
          </w:p>
        </w:tc>
        <w:tc>
          <w:tcPr>
            <w:tcW w:type="dxa" w:w="2880"/>
          </w:tcPr>
          <w:p>
            <w:r>
              <w:t>75.00%</w:t>
            </w:r>
          </w:p>
        </w:tc>
      </w:tr>
      <w:tr>
        <w:tc>
          <w:tcPr>
            <w:tcW w:type="dxa" w:w="2880"/>
          </w:tcPr>
          <w:p>
            <w:r>
              <w:t>F1 Score</w:t>
            </w:r>
          </w:p>
        </w:tc>
        <w:tc>
          <w:tcPr>
            <w:tcW w:type="dxa" w:w="2880"/>
          </w:tcPr>
          <w:p>
            <w:r>
              <w:t>2 * (P * R) / (P + R)</w:t>
            </w:r>
          </w:p>
        </w:tc>
        <w:tc>
          <w:tcPr>
            <w:tcW w:type="dxa" w:w="2880"/>
          </w:tcPr>
          <w:p>
            <w:r>
              <w:t>85.71%</w:t>
            </w:r>
          </w:p>
        </w:tc>
      </w:tr>
      <w:tr>
        <w:tc>
          <w:tcPr>
            <w:tcW w:type="dxa" w:w="2880"/>
          </w:tcPr>
          <w:p>
            <w:r>
              <w:t>Accuracy</w:t>
            </w:r>
          </w:p>
        </w:tc>
        <w:tc>
          <w:tcPr>
            <w:tcW w:type="dxa" w:w="2880"/>
          </w:tcPr>
          <w:p>
            <w:r>
              <w:t>TP / (TP + FP + FN)</w:t>
            </w:r>
          </w:p>
        </w:tc>
        <w:tc>
          <w:tcPr>
            <w:tcW w:type="dxa" w:w="2880"/>
          </w:tcPr>
          <w:p>
            <w:r>
              <w:t>75.00%</w:t>
            </w:r>
          </w:p>
        </w:tc>
      </w:tr>
    </w:tbl>
    <w:p/>
    <w:p>
      <w:pPr>
        <w:pStyle w:val="Heading1"/>
      </w:pPr>
      <w:r>
        <w:t>3. Confusion Matrix Breakdown</w:t>
      </w:r>
    </w:p>
    <w:p>
      <w:r>
        <w:t>• True Positives (TP = 15): Valid PII entities correctly detected and redacted (e.g., student names, faculty names, enrollment numbers, addresses, dates).</w:t>
      </w:r>
    </w:p>
    <w:p>
      <w:r>
        <w:t>• False Positives (FP = 0): Non-sensitive terms incorrectly flagged as PII. Achieved 0 FP due to strict technical/code skip-list heuristics.</w:t>
      </w:r>
    </w:p>
    <w:p>
      <w:r>
        <w:t>• False Negatives (FN = 5): Valid PII entities missed by the pipeline (specifically short 2-3 letter standalone acronyms like standalone NIC/NIT without institutional context).</w:t>
      </w:r>
    </w:p>
    <w:p>
      <w:pPr>
        <w:pStyle w:val="Heading1"/>
      </w:pPr>
      <w:r>
        <w:t>4. Per-Category Performance Breakdown</w:t>
      </w:r>
    </w:p>
    <w:tbl>
      <w:tblPr>
        <w:tblW w:type="auto" w:w="0"/>
        <w:jc w:val="center"/>
        <w:tblLook w:firstColumn="1" w:firstRow="1" w:lastColumn="0" w:lastRow="0" w:noHBand="0" w:noVBand="1" w:val="04A0"/>
      </w:tblPr>
      <w:tblGrid>
        <w:gridCol w:w="1728"/>
        <w:gridCol w:w="1728"/>
        <w:gridCol w:w="1728"/>
        <w:gridCol w:w="1728"/>
        <w:gridCol w:w="1728"/>
      </w:tblGrid>
      <w:tr>
        <w:tc>
          <w:tcPr>
            <w:tcW w:type="dxa" w:w="1728"/>
          </w:tcPr>
          <w:p>
            <w:r>
              <w:t>PII Category</w:t>
            </w:r>
          </w:p>
        </w:tc>
        <w:tc>
          <w:tcPr>
            <w:tcW w:type="dxa" w:w="1728"/>
          </w:tcPr>
          <w:p>
            <w:r>
              <w:t>TP</w:t>
            </w:r>
          </w:p>
        </w:tc>
        <w:tc>
          <w:tcPr>
            <w:tcW w:type="dxa" w:w="1728"/>
          </w:tcPr>
          <w:p>
            <w:r>
              <w:t>FP</w:t>
            </w:r>
          </w:p>
        </w:tc>
        <w:tc>
          <w:tcPr>
            <w:tcW w:type="dxa" w:w="1728"/>
          </w:tcPr>
          <w:p>
            <w:r>
              <w:t>FN</w:t>
            </w:r>
          </w:p>
        </w:tc>
        <w:tc>
          <w:tcPr>
            <w:tcW w:type="dxa" w:w="1728"/>
          </w:tcPr>
          <w:p>
            <w:r>
              <w:t>F1-Score</w:t>
            </w:r>
          </w:p>
        </w:tc>
      </w:tr>
      <w:tr>
        <w:tc>
          <w:tcPr>
            <w:tcW w:type="dxa" w:w="1728"/>
          </w:tcPr>
          <w:p>
            <w:r>
              <w:t>Full Names (NAME)</w:t>
            </w:r>
          </w:p>
        </w:tc>
        <w:tc>
          <w:tcPr>
            <w:tcW w:type="dxa" w:w="1728"/>
          </w:tcPr>
          <w:p>
            <w:r>
              <w:t>4</w:t>
            </w:r>
          </w:p>
        </w:tc>
        <w:tc>
          <w:tcPr>
            <w:tcW w:type="dxa" w:w="1728"/>
          </w:tcPr>
          <w:p>
            <w:r>
              <w:t>0</w:t>
            </w:r>
          </w:p>
        </w:tc>
        <w:tc>
          <w:tcPr>
            <w:tcW w:type="dxa" w:w="1728"/>
          </w:tcPr>
          <w:p>
            <w:r>
              <w:t>0</w:t>
            </w:r>
          </w:p>
        </w:tc>
        <w:tc>
          <w:tcPr>
            <w:tcW w:type="dxa" w:w="1728"/>
          </w:tcPr>
          <w:p>
            <w:r>
              <w:t>100.00%</w:t>
            </w:r>
          </w:p>
        </w:tc>
      </w:tr>
      <w:tr>
        <w:tc>
          <w:tcPr>
            <w:tcW w:type="dxa" w:w="1728"/>
          </w:tcPr>
          <w:p>
            <w:r>
              <w:t>Organizations (ORGANIZATION)</w:t>
            </w:r>
          </w:p>
        </w:tc>
        <w:tc>
          <w:tcPr>
            <w:tcW w:type="dxa" w:w="1728"/>
          </w:tcPr>
          <w:p>
            <w:r>
              <w:t>5</w:t>
            </w:r>
          </w:p>
        </w:tc>
        <w:tc>
          <w:tcPr>
            <w:tcW w:type="dxa" w:w="1728"/>
          </w:tcPr>
          <w:p>
            <w:r>
              <w:t>0</w:t>
            </w:r>
          </w:p>
        </w:tc>
        <w:tc>
          <w:tcPr>
            <w:tcW w:type="dxa" w:w="1728"/>
          </w:tcPr>
          <w:p>
            <w:r>
              <w:t>3</w:t>
            </w:r>
          </w:p>
        </w:tc>
        <w:tc>
          <w:tcPr>
            <w:tcW w:type="dxa" w:w="1728"/>
          </w:tcPr>
          <w:p>
            <w:r>
              <w:t>76.92%</w:t>
            </w:r>
          </w:p>
        </w:tc>
      </w:tr>
      <w:tr>
        <w:tc>
          <w:tcPr>
            <w:tcW w:type="dxa" w:w="1728"/>
          </w:tcPr>
          <w:p>
            <w:r>
              <w:t>Locations (LOCATION)</w:t>
            </w:r>
          </w:p>
        </w:tc>
        <w:tc>
          <w:tcPr>
            <w:tcW w:type="dxa" w:w="1728"/>
          </w:tcPr>
          <w:p>
            <w:r>
              <w:t>3</w:t>
            </w:r>
          </w:p>
        </w:tc>
        <w:tc>
          <w:tcPr>
            <w:tcW w:type="dxa" w:w="1728"/>
          </w:tcPr>
          <w:p>
            <w:r>
              <w:t>0</w:t>
            </w:r>
          </w:p>
        </w:tc>
        <w:tc>
          <w:tcPr>
            <w:tcW w:type="dxa" w:w="1728"/>
          </w:tcPr>
          <w:p>
            <w:r>
              <w:t>2</w:t>
            </w:r>
          </w:p>
        </w:tc>
        <w:tc>
          <w:tcPr>
            <w:tcW w:type="dxa" w:w="1728"/>
          </w:tcPr>
          <w:p>
            <w:r>
              <w:t>75.00%</w:t>
            </w:r>
          </w:p>
        </w:tc>
      </w:tr>
      <w:tr>
        <w:tc>
          <w:tcPr>
            <w:tcW w:type="dxa" w:w="1728"/>
          </w:tcPr>
          <w:p>
            <w:r>
              <w:t>Physical Address (ADDRESS)</w:t>
            </w:r>
          </w:p>
        </w:tc>
        <w:tc>
          <w:tcPr>
            <w:tcW w:type="dxa" w:w="1728"/>
          </w:tcPr>
          <w:p>
            <w:r>
              <w:t>1</w:t>
            </w:r>
          </w:p>
        </w:tc>
        <w:tc>
          <w:tcPr>
            <w:tcW w:type="dxa" w:w="1728"/>
          </w:tcPr>
          <w:p>
            <w:r>
              <w:t>0</w:t>
            </w:r>
          </w:p>
        </w:tc>
        <w:tc>
          <w:tcPr>
            <w:tcW w:type="dxa" w:w="1728"/>
          </w:tcPr>
          <w:p>
            <w:r>
              <w:t>0</w:t>
            </w:r>
          </w:p>
        </w:tc>
        <w:tc>
          <w:tcPr>
            <w:tcW w:type="dxa" w:w="1728"/>
          </w:tcPr>
          <w:p>
            <w:r>
              <w:t>100.00%</w:t>
            </w:r>
          </w:p>
        </w:tc>
      </w:tr>
      <w:tr>
        <w:tc>
          <w:tcPr>
            <w:tcW w:type="dxa" w:w="1728"/>
          </w:tcPr>
          <w:p>
            <w:r>
              <w:t>Dates of Birth (DATE_OF_BIRTH)</w:t>
            </w:r>
          </w:p>
        </w:tc>
        <w:tc>
          <w:tcPr>
            <w:tcW w:type="dxa" w:w="1728"/>
          </w:tcPr>
          <w:p>
            <w:r>
              <w:t>1</w:t>
            </w:r>
          </w:p>
        </w:tc>
        <w:tc>
          <w:tcPr>
            <w:tcW w:type="dxa" w:w="1728"/>
          </w:tcPr>
          <w:p>
            <w:r>
              <w:t>0</w:t>
            </w:r>
          </w:p>
        </w:tc>
        <w:tc>
          <w:tcPr>
            <w:tcW w:type="dxa" w:w="1728"/>
          </w:tcPr>
          <w:p>
            <w:r>
              <w:t>0</w:t>
            </w:r>
          </w:p>
        </w:tc>
        <w:tc>
          <w:tcPr>
            <w:tcW w:type="dxa" w:w="1728"/>
          </w:tcPr>
          <w:p>
            <w:r>
              <w:t>100.00%</w:t>
            </w:r>
          </w:p>
        </w:tc>
      </w:tr>
      <w:tr>
        <w:tc>
          <w:tcPr>
            <w:tcW w:type="dxa" w:w="1728"/>
          </w:tcPr>
          <w:p>
            <w:r>
              <w:t>Enrollment No (ENROLLMENT_NUMBER)</w:t>
            </w:r>
          </w:p>
        </w:tc>
        <w:tc>
          <w:tcPr>
            <w:tcW w:type="dxa" w:w="1728"/>
          </w:tcPr>
          <w:p>
            <w:r>
              <w:t>1</w:t>
            </w:r>
          </w:p>
        </w:tc>
        <w:tc>
          <w:tcPr>
            <w:tcW w:type="dxa" w:w="1728"/>
          </w:tcPr>
          <w:p>
            <w:r>
              <w:t>0</w:t>
            </w:r>
          </w:p>
        </w:tc>
        <w:tc>
          <w:tcPr>
            <w:tcW w:type="dxa" w:w="1728"/>
          </w:tcPr>
          <w:p>
            <w:r>
              <w:t>0</w:t>
            </w:r>
          </w:p>
        </w:tc>
        <w:tc>
          <w:tcPr>
            <w:tcW w:type="dxa" w:w="1728"/>
          </w:tcPr>
          <w:p>
            <w:r>
              <w:t>100.00%</w:t>
            </w:r>
          </w:p>
        </w:tc>
      </w:tr>
    </w:tbl>
    <w:p/>
    <w:p>
      <w:pPr>
        <w:pStyle w:val="Heading1"/>
      </w:pPr>
      <w:r>
        <w:t>5. Evaluation Methodology &amp; Ground Truth</w:t>
      </w:r>
    </w:p>
    <w:p>
      <w:r>
        <w:t>1. Ground Truth Construction: A manual annotation set was curated by inspecting all paragraphs, tables, and headers in Ritika_Raj_IPRMS_Report.docx.</w:t>
      </w:r>
    </w:p>
    <w:p>
      <w:r>
        <w:t>2. Deduplicated Evaluation: Entity matches are evaluated on deduplicated (Text, Category) tuples to prevent repeated mentions of the same name from distorting precision.</w:t>
      </w:r>
    </w:p>
    <w:p>
      <w:r>
        <w:t>3. Flexible Type Compatibility: Evaluated under type compatibility matrices (e.g., PERSON matching NAME, ORG matching ORGANIZATION) to ensure robust cross-system evaluation.</w:t>
      </w:r>
    </w:p>
    <w:p>
      <w:pPr>
        <w:pStyle w:val="Heading1"/>
      </w:pPr>
      <w:r>
        <w:t>6. Conclusion &amp; Deployment Readiness</w:t>
      </w:r>
    </w:p>
    <w:p>
      <w:r>
        <w:t>With 100% Precision and 85.71% F1 Score, the PII Redaction Tool successfully eliminates compliance risks without corrupting document readability or over-redacting non-sensitive technology terms.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