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 Use venture dossier</w:t>
      </w:r>
    </w:p>
    <w:p>
      <w:pPr>
        <w:pStyle w:val="Subtitle"/>
      </w:pPr>
      <w:r>
        <w:t>ENT303TC 2026/27 • Evidence and operating baseline • 6 October 2026</w:t>
      </w:r>
    </w:p>
    <w:p>
      <w:pPr>
        <w:widowControl/>
      </w:pPr>
      <w:r>
        <w:t>U Use is a campus item-access prototype for SIP and XEC. It supports purchase, borrowing, rental and swaps, with date-aware discovery and a request-first needs board. A personal timetable can help two participants find a suitable handoff, while maps and nearby sharing stay optional.</w:t>
      </w:r>
    </w:p>
    <w:p>
      <w:pPr>
        <w:widowControl/>
      </w:pPr>
      <w:r>
        <w:t>The current evidence supports a local working prototype and documented engineering checks. It does not establish customer demand, campus adoption, revenue, institutional approval or production readiness. The commercial proposal therefore starts with a small consented pilot and manual support.</w:t>
      </w:r>
    </w:p>
    <w:p>
      <w:pPr>
        <w:widowControl/>
      </w:pPr>
      <w:r>
        <w:t>The seven named members are Guo Yuxuan (Rita), Wang Rui, Huang Yuxuan, Tang Yinqiu, Mao Xiangyi, Huang Junjie and Li Yuanlong. Role allocations in this package are proposals until the team confirms them. Group number, official student identifiers and submission-cover requirements must come from the team or the separate assessment brief.</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Assessment</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Required form</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Deadline and weight</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A1</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6 slides, no appendix</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6 Nov 2026, 23:59; 20%</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A2</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3-6 minute group pitch video</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18 Dec 2026; 20%</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A3</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10-12 slides and live pitch</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21 Mar 2027, 23:59 Beijing; 30%</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A4</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Independent personal reflection</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16 Apr 2027; 30%</w:t>
            </w:r>
          </w:p>
        </w:tc>
      </w:tr>
    </w:tbl>
    <w:p>
      <w:pPr>
        <w:spacing w:after="80"/>
      </w:pPr>
    </w:p>
    <w:p>
      <w:pPr>
        <w:widowControl/>
      </w:pPr>
      <w:r>
        <w:t>Source: supplied handbook pp. 5-6. A3 live presentations run 22-26 March 2027. A2 and A4 submission times and A4 word count are not stated in the handbook. The separate assessment brief takes precedence. Check both LMO submission receipts where the handbook requires them.</w:t>
      </w:r>
    </w:p>
    <w:p>
      <w:r>
        <w:br w:type="page"/>
      </w:r>
    </w:p>
    <w:p>
      <w:pPr>
        <w:pStyle w:val="Heading1"/>
      </w:pPr>
      <w:r>
        <w:t>Problem, audience and service scope</w:t>
      </w:r>
    </w:p>
    <w:p>
      <w:pPr>
        <w:widowControl/>
      </w:pPr>
      <w:r>
        <w:t>The problem hypothesis is that students with a short-term need face coordination costs: identifying an available item, arranging a compatible handoff and agreeing a return or exchange. This is a planning hypothesis. No completed interviews or participant quotations are included as evidence.</w:t>
      </w:r>
    </w:p>
    <w:p>
      <w:pPr>
        <w:widowControl/>
      </w:pPr>
      <w:r>
        <w:t>The first audience comprises students with occasional, low-value needs and owners willing to make a usable item available. A provisional persona is a student preparing for a project or event who needs an item for several days. The counterpart is an owner who values clear terms and a predictable return. Neither persona represents a researched demographic finding.</w:t>
      </w:r>
    </w:p>
    <w:p>
      <w:pPr>
        <w:widowControl/>
      </w:pPr>
      <w:r>
        <w:t>The proposed journey begins with a dated search or needs-board request. The student reviews condition and costs, checks a meeting option, sends a request, receives owner confirmation, completes a mutual handoff and follows the required return or dispute process. The most important failure points are missing supply, inaccurate availability, unclear costs and uncompleted handoffs.</w:t>
      </w:r>
    </w:p>
    <w:p>
      <w:pPr>
        <w:widowControl/>
      </w:pPr>
      <w:r>
        <w:t>SIP and XEC are separate operating contexts. XEC uses specific building names such as A-G, with D library and J student centre labels where verified in the existing campus source register. Dormitories remain outside the campus. Building connectors in a timetable do not justify inventing entrance coordinates. Participants agree the meeting place explicitly.</w:t>
      </w:r>
    </w:p>
    <w:p>
      <w:pPr>
        <w:widowControl/>
      </w:pPr>
      <w:r>
        <w:t>The prototype makes maps secondary because the trading task can proceed without GPS. Importing a timetable is optional and each person has their own term and classes. A supplied screenshot describes a format, not the school's universal schedule. OCR output always requires correction and confirmation.</w:t>
      </w:r>
    </w:p>
    <w:p>
      <w:r>
        <w:br w:type="page"/>
      </w:r>
    </w:p>
    <w:p>
      <w:pPr>
        <w:pStyle w:val="Heading1"/>
      </w:pPr>
      <w:r>
        <w:t>Concept choice and alternatives</w:t>
      </w:r>
    </w:p>
    <w:p>
      <w:pPr>
        <w:widowControl/>
      </w:pPr>
      <w:r>
        <w:t>Three materially different concepts are compared below. The scores reflect planning judgment, not votes from users. Weights total 100%. Each score ranges from 1, poor, to 5, strong. A weighted score is the sum of score times weight. The matrix is revisable after interviews and task tests.</w:t>
      </w:r>
    </w:p>
    <w:tbl>
      <w:tblPr>
        <w:tblW w:type="auto" w:w="0"/>
        <w:tblLayout w:type="fixed"/>
        <w:tblLook w:firstColumn="1" w:firstRow="1" w:lastColumn="0" w:lastRow="0" w:noHBand="0" w:noVBand="1" w:val="04A0"/>
      </w:tblPr>
      <w:tblGrid>
        <w:gridCol w:w="2016"/>
        <w:gridCol w:w="2016"/>
        <w:gridCol w:w="2016"/>
        <w:gridCol w:w="2016"/>
        <w:gridCol w:w="2016"/>
      </w:tblGrid>
      <w:tr>
        <w:trPr>
          <w:tblHeader/>
          <w:cantSplit/>
        </w:trPr>
        <w:tc>
          <w:tcPr>
            <w:tcW w:type="dxa" w:w="2016"/>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Criterion</w:t>
            </w:r>
          </w:p>
        </w:tc>
        <w:tc>
          <w:tcPr>
            <w:tcW w:type="dxa" w:w="2016"/>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Weight</w:t>
            </w:r>
          </w:p>
        </w:tc>
        <w:tc>
          <w:tcPr>
            <w:tcW w:type="dxa" w:w="2016"/>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Map-first marketplace</w:t>
            </w:r>
          </w:p>
        </w:tc>
        <w:tc>
          <w:tcPr>
            <w:tcW w:type="dxa" w:w="2016"/>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Request concierge</w:t>
            </w:r>
          </w:p>
        </w:tc>
        <w:tc>
          <w:tcPr>
            <w:tcW w:type="dxa" w:w="2016"/>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Date-aware board</w:t>
            </w:r>
          </w:p>
        </w:tc>
      </w:tr>
      <w:tr>
        <w:trPr>
          <w:cantSplit/>
        </w:trPr>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Privacy without GPS</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30%</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2</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5</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5</w:t>
            </w:r>
          </w:p>
        </w:tc>
      </w:tr>
      <w:tr>
        <w:trPr>
          <w:cantSplit/>
        </w:trPr>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Build and operate feasibly</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25%</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2</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w:t>
            </w:r>
          </w:p>
        </w:tc>
      </w:tr>
      <w:tr>
        <w:trPr>
          <w:cantSplit/>
        </w:trPr>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First useful transaction</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30%</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3</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w:t>
            </w:r>
          </w:p>
        </w:tc>
      </w:tr>
      <w:tr>
        <w:trPr>
          <w:cantSplit/>
        </w:trPr>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Potential repeat value</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15%</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3</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2</w:t>
            </w:r>
          </w:p>
        </w:tc>
        <w:tc>
          <w:tcPr>
            <w:tcW w:type="dxa" w:w="2016"/>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w:t>
            </w:r>
          </w:p>
        </w:tc>
      </w:tr>
      <w:tr>
        <w:trPr>
          <w:cantSplit/>
        </w:trPr>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Weighted score</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100%</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2.45</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4.00</w:t>
            </w:r>
          </w:p>
        </w:tc>
        <w:tc>
          <w:tcPr>
            <w:tcW w:type="dxa" w:w="2016"/>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4.30</w:t>
            </w:r>
          </w:p>
        </w:tc>
      </w:tr>
    </w:tbl>
    <w:p>
      <w:pPr>
        <w:spacing w:after="80"/>
      </w:pPr>
    </w:p>
    <w:p>
      <w:pPr>
        <w:widowControl/>
      </w:pPr>
      <w:r>
        <w:t>A map-first marketplace prioritises nearby discovery and live presence. A request concierge is a manually managed intake service with no marketplace catalogue. The date-aware board combines self-service discovery with specific requests and optional private schedule matching. The proposed choice is the third concept, while a concierge remains a fallback if item liquidity proves too low.</w:t>
      </w:r>
    </w:p>
    <w:p>
      <w:pPr>
        <w:widowControl/>
      </w:pPr>
      <w:r>
        <w:t>Goofish offers a general second-hand marketplace, Renrenzu presents rental listings, and Aihuishou offers recycling and second-hand retail. Friends and class groups are an informal substitute. These alternatives already solve portions of the task. The differentiation hypothesis concerns campus-specific date coordination and request handling, rather than a claim that no competitor offers borrowing or local trading.</w:t>
      </w:r>
    </w:p>
    <w:p>
      <w:pPr>
        <w:widowControl/>
      </w:pPr>
      <w:r>
        <w:t>Use the same item and dates for a dated competitor review. Record time to identify supply, total consideration, required duration, meeting logistics, identity expectations and return terms. An unavailable or hidden homepage detail must be marked unknown, never scored as absent. Sources S2-S4 are listed on the final source page.</w:t>
      </w:r>
    </w:p>
    <w:p>
      <w:r>
        <w:br w:type="page"/>
      </w:r>
    </w:p>
    <w:p>
      <w:pPr>
        <w:pStyle w:val="Heading1"/>
      </w:pPr>
      <w:r>
        <w:t>Research instrument and data plan</w:t>
      </w:r>
    </w:p>
    <w:p>
      <w:pPr>
        <w:widowControl/>
      </w:pPr>
      <w:r>
        <w:t>The first research round should recruit 3-5 adult student volunteers across different years or programmes and, where access permits, both campuses. Convenience recruitment is useful for discovering failures but does not represent the entire school. Record the recruitment route and avoid counting team members or synthetic accounts as independent users.</w:t>
      </w:r>
    </w:p>
    <w:p>
      <w:pPr>
        <w:widowControl/>
      </w:pPr>
      <w:r>
        <w:t>Consent invitation: We are a student team studying how students access items for short-term needs. Participation is voluntary and takes about 15 minutes. You can skip a question or stop at any time. With your permission we will take anonymised notes. We do not need your exact location, student ID, payment information or full timetable. Participation has no effect on your grades. Recording requires separate permission.</w:t>
      </w:r>
    </w:p>
    <w:p>
      <w:pPr>
        <w:widowControl/>
      </w:pPr>
      <w:r>
        <w:t>Ask about a recent incident before presenting U Use: What did you need? When and for how long? What did you try first? What happened? What time or money did it cost? What would have made you stop? Ask an owner: What would you make available? What return arrangement would be acceptable? What information would you refuse to share?</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Assumption</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Neutral task or question</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Evidence retained</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Coordination causes friction</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Reconstruct the last real incident</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Anonymised incident notes</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Dates improve item discovery</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Find an item for stated dates</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Success, errors and elapsed time</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Requests help low supply</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Post a need and assess a response</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Task notes and useful-response criteria</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Privacy choices remain clear</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Proceed without GPS, review sharing</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Confusion and unintended permission</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Timetables differ individually</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Import own redacted format</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Parser errors and corrections</w:t>
            </w:r>
          </w:p>
        </w:tc>
      </w:tr>
    </w:tbl>
    <w:p>
      <w:pPr>
        <w:spacing w:after="80"/>
      </w:pPr>
    </w:p>
    <w:p>
      <w:pPr>
        <w:widowControl/>
      </w:pPr>
      <w:r>
        <w:t>Pilot the instrument with one volunteer, revise ambiguous questions and retain the revised version. Store participant identifiers separately from notes with restricted access. Use participant codes R01 onward only after real recruitment. Do not collect precise GPS or raw timetables in a general evidence folder. Agree an actual retention/deletion date with the module's data requirements and tell participants before collection. Research plans and empty fields are not completed evidence.</w:t>
      </w:r>
    </w:p>
    <w:p>
      <w:r>
        <w:br w:type="page"/>
      </w:r>
    </w:p>
    <w:p>
      <w:pPr>
        <w:pStyle w:val="Heading1"/>
      </w:pPr>
      <w:r>
        <w:t>Evidence, measures and decision rules</w:t>
      </w:r>
    </w:p>
    <w:p>
      <w:pPr>
        <w:widowControl/>
      </w:pPr>
      <w:r>
        <w:t>Maintain a claim-evidence register with claim ID, date, owner, source or raw-record path, evidence type, limitation and decision. Label records as verified source, executed technical test, authentic participant evidence, planning assumption or synthetic fixture. Only the first three can support corresponding factual claims.</w:t>
      </w:r>
    </w:p>
    <w:p>
      <w:pPr>
        <w:widowControl/>
      </w:pPr>
      <w:r>
        <w:t>For task tests, record completion without help, assistance required, elapsed time, critical errors and the participant's explanation. Report small-sample counts, such as four of five participants, rather than presenting those counts as representative school-wide satisfaction percentages.</w:t>
      </w:r>
    </w:p>
    <w:p>
      <w:pPr>
        <w:widowControl/>
      </w:pPr>
      <w:r>
        <w:t>For the pilot, an eligible request means a genuine student need with valid dates, budget and an allowed category. A useful response meets those constraints and comes from an owner with an available item. A completed trade requires the recorded participant confirmations. Exclude team rehearsal, duplicate attempts and synthetic fixtures from activation and transaction metrics.</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Planned decision gate</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Purpose</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If the gate fails</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4 of 5 finish the key task unaided</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Minimum usability judgment</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Fix observed blockers and retest</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3 genuine requests get a useful reply in 48h</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Initial matching signal</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Narrow categories or try concierge</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3 real pilot trades complete</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First operational signal</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Investigate uncompleted handoffs</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Named moderator and tested restore</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Operational accountability</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Keep access limited</w:t>
            </w:r>
          </w:p>
        </w:tc>
      </w:tr>
    </w:tbl>
    <w:p>
      <w:pPr>
        <w:spacing w:after="80"/>
      </w:pPr>
    </w:p>
    <w:p>
      <w:pPr>
        <w:widowControl/>
      </w:pPr>
      <w:r>
        <w:t>These gates are team planning judgments, not handbook thresholds or statistical proof. Zero use remains possible. Stop expansion if severe privacy incidents, unresolved item losses or inadequate moderation arise. Before A1, the handbook expects 3-5 interactions/tests, at least three traceable insights and a revised problem/concept decision. No such completed primary-research evidence is claimed by this package.</w:t>
      </w:r>
    </w:p>
    <w:p>
      <w:r>
        <w:br w:type="page"/>
      </w:r>
    </w:p>
    <w:p>
      <w:pPr>
        <w:pStyle w:val="Heading1"/>
      </w:pPr>
      <w:r>
        <w:t>Market sizing and cautious marketing</w:t>
      </w:r>
    </w:p>
    <w:p>
      <w:pPr>
        <w:widowControl/>
      </w:pPr>
      <w:r>
        <w:t>XJTLU's official overview states 26,000+ students and identifies May 2026 as the update period. This is institution-wide context. It is not the number physically reachable at SIP/XEC and it does not establish how often those students need this service. A credible monetised national TAM requires additional population and behaviour sources, so no unsupported national market-value figure is included.</w:t>
      </w:r>
    </w:p>
    <w:p>
      <w:pPr>
        <w:widowControl/>
      </w:pPr>
      <w:r>
        <w:t>The provisional pilot serviceable cohort is 60-180 unique invitees reachable through a permitted class or society channel. Those counts are capacity assumptions, not observed channel audiences. The base case assumes 120 invitees, 15% activated users and 40% of activated users completing one trade over four weeks. The expected output is 18 activated users and 7.2 trades. Fractional trade counts describe an expectation; actual observations must be whole counts.</w:t>
      </w:r>
    </w:p>
    <w:p>
      <w:pPr>
        <w:widowControl/>
      </w:pPr>
      <w:r>
        <w:t>The model uses average paid consideration of CNY 30 per completed fee-bearing transaction. Base GMV is 7.2 times 30, or CNY 216. It excludes refundable deposits, free borrowing and swaps. A future 5% service fee would generate CNY 10.80 before costs; the planned pilot charges no platform fee. This scale is insufficient to justify broad paid advertising.</w:t>
      </w:r>
    </w:p>
    <w:p>
      <w:pPr>
        <w:widowControl/>
      </w:pPr>
      <w:r>
        <w:t>Recruit manually, with the channel owner's permission, and describe one specific use case. Ask participants to join voluntarily rather than scraping class lists or collecting their contacts. Start with categories supported by real requests and responsive owners. Expansion to another channel follows demonstrated fulfilment, not a large registration count.</w:t>
      </w:r>
    </w:p>
    <w:p>
      <w:pPr>
        <w:widowControl/>
      </w:pPr>
      <w:r>
        <w:t>The stop condition is equally important: if requests receive no useful supply, repeated handoffs fail or moderation cost exceeds the team's capacity, narrow the scope, operate a manual request service or close the pilot. A sustainable course prototype is a legitimate outcome even if a campus-wide venture proves unattractive. Source: S1 and the editable scenario workbook.</w:t>
      </w:r>
    </w:p>
    <w:p>
      <w:r>
        <w:br w:type="page"/>
      </w:r>
    </w:p>
    <w:p>
      <w:pPr>
        <w:pStyle w:val="Heading1"/>
      </w:pPr>
      <w:r>
        <w:t>Nine-block business model</w:t>
      </w:r>
    </w:p>
    <w:p>
      <w:pPr>
        <w:widowControl/>
      </w:pPr>
      <w:r>
        <w:t>Customer segments: students with occasional needs and owners with usable idle items. Value proposition: a relevant item with compatible dates, clear consideration and an agreed local handoff. Both sides can proceed without public precise location sharing.</w:t>
      </w:r>
    </w:p>
    <w:p>
      <w:pPr>
        <w:widowControl/>
      </w:pPr>
      <w:r>
        <w:t>Channels: a permitted class, society or small referral group. Customer relationships: clear booking terms, responsive manual support and an identifiable dispute contact. Proposed partners: student societies, channel owners and a hosting/email provider; no signed partnership or university endorsement exists.</w:t>
      </w:r>
    </w:p>
    <w:p>
      <w:pPr>
        <w:widowControl/>
      </w:pPr>
      <w:r>
        <w:t>Key activities: maintain the service, review listings, coordinate a controlled pilot, resolve reports and preserve evidence. Key resources: code, an operating environment, moderators and a reliable supply of relevant listings. Team time is a real resource even where no cash changes hands.</w:t>
      </w:r>
    </w:p>
    <w:p>
      <w:pPr>
        <w:widowControl/>
      </w:pPr>
      <w:r>
        <w:t>Cost structure: hosting, email delivery, printed recruitment materials, contingency and the team's time. Revenue streams: no platform fee during the pilot. A later small service fee or sponsored institutional support requires willingness-to-pay and operating-cost evidence. The application does not currently implement platform escrow, insurance or a revenue-generating fee service.</w:t>
      </w:r>
    </w:p>
    <w:p>
      <w:pPr>
        <w:widowControl/>
      </w:pPr>
      <w:r>
        <w:t>The base four-week cash plan is CNY 60 hosting, 20 email, 50 materials and 50 contingency, totalling CNY 180. These are assumed allocations, not supplier quotes or paid invoices. Labour is an opportunity-cost assumption: seven people, two hours each per week, four weeks and CNY 20 per hour, totalling 56 hours and CNY 1,120.</w:t>
      </w:r>
    </w:p>
    <w:p>
      <w:pPr>
        <w:widowControl/>
      </w:pPr>
      <w:r>
        <w:t>Base pilot cash contribution is CNY -180 because pilot revenue is zero. At a hypothetical future 5% fee, contribution before labour is CNY -169.20 and after assumed labour is CNY -1,289.20. Even that calculation excludes taxes, payment-provider charges and possible item losses. The model favours learning through limited service rather than a premature profitability claim.</w:t>
      </w:r>
    </w:p>
    <w:p>
      <w:r>
        <w:br w:type="page"/>
      </w:r>
    </w:p>
    <w:p>
      <w:pPr>
        <w:pStyle w:val="Heading1"/>
      </w:pPr>
      <w:r>
        <w:t>Product architecture and privacy</w:t>
      </w:r>
    </w:p>
    <w:p>
      <w:pPr>
        <w:widowControl/>
      </w:pPr>
      <w:r>
        <w:t>The product uses Next.js and React with server routes for authentication, products, needs, bookings, messages, notifications and moderation. SQLite supports local development and PostgreSQL is the intended production record store. Mutations include their validation reads in transactions. Production acceptance remains a separate task.</w:t>
      </w:r>
    </w:p>
    <w:p>
      <w:pPr>
        <w:widowControl/>
      </w:pPr>
      <w:r>
        <w:t>Student-email verification issues private sessions through hashed server-side tokens and HttpOnly cookies. It confirms access to an approved mailbox, not university SSO or identity assurance beyond that. Production SMTP must be configured. Account-pinned private requests detect a changed cookie identity and reject stale actions rather than writing under the wrong account.</w:t>
      </w:r>
    </w:p>
    <w:p>
      <w:pPr>
        <w:widowControl/>
      </w:pPr>
      <w:r>
        <w:t>Publishing validates dates, costs, ownership and photos. Photos are re-encoded to remove EXIF data and require review. Booking checks protect inventory and overlapping dates. Participants confirm handoff, required return and offline payment, with a dispute path. Idempotency keys prevent a retry from duplicating the same action.</w:t>
      </w:r>
    </w:p>
    <w:p>
      <w:pPr>
        <w:widowControl/>
      </w:pPr>
      <w:r>
        <w:t>Timetable import processes screenshot OCR and PDF content locally. Users review the extracted courses and confirm each term, teaching weeks, cancellations and makeups. Private schedule data supports recommendations without making a person's full timetable public. No recommendation is a guarantee of travel time or building access.</w:t>
      </w:r>
    </w:p>
    <w:p>
      <w:pPr>
        <w:widowControl/>
      </w:pPr>
      <w:r>
        <w:t>Maps stay collapsed and nearby presence requires explicit opt-in. Approximate presence uses a roughly 200-metre grid and a short lease, but low-density areas may still allow inference. Opening external map tiles shares network metadata with the tile provider. The interface discloses this. These controls reduce exposure; they do not certify legal compliance or eliminate every privacy risk.</w:t>
      </w:r>
    </w:p>
    <w:p>
      <w:pPr>
        <w:widowControl/>
      </w:pPr>
      <w:r>
        <w:t>Payments and deposits remain off-platform. Before any public trial, seek appropriate review of deposit terms, loss handling, prohibited items and liability. No legally guaranteed escrow, damage cover or insured repayment is represented in the product or decks.</w:t>
      </w:r>
    </w:p>
    <w:p>
      <w:r>
        <w:br w:type="page"/>
      </w:r>
    </w:p>
    <w:p>
      <w:pPr>
        <w:pStyle w:val="Heading1"/>
      </w:pPr>
      <w:r>
        <w:t>Engineering review and release plan</w:t>
      </w:r>
    </w:p>
    <w:p>
      <w:pPr>
        <w:widowControl/>
      </w:pPr>
      <w:r>
        <w:t>The 6 October review corrected two concrete edge cases. Clearing the week-view date previously reached invalid date conversion and could crash the view. The new valid-date guard renders a recoverable prompt. Notifications previously displayed only the first twenty entries. Stable owner-scoped cursor pagination now exposes older entries while preserving read state across refreshes.</w:t>
      </w:r>
    </w:p>
    <w:p>
      <w:pPr>
        <w:widowControl/>
      </w:pPr>
      <w:r>
        <w:t>Verification includes booking, timetable, session, discovery and messaging regression suites, TypeScript checks, an optimised production build and the isolated production API suite. The API suite uses synthetic users and a mock SMTP service. It exercises ownership, private-data isolation, photo review, booking lifecycle, messages, notifications, nearby leases, CSRF/body limits, expiry and restart durability.</w:t>
      </w:r>
    </w:p>
    <w:p>
      <w:pPr>
        <w:widowControl/>
      </w:pPr>
      <w:r>
        <w:t>Engineering validation does not establish production SMTP delivery, external PostgreSQL behaviour, backup-restoration success, real campus GPS accuracy, item supply or user acceptance. Retain the actual command outcomes in the separate release report. No claim of zero bugs is defensible.</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Release prerequisite</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color w:val="FFFFFF"/>
                <w:sz w:val="20"/>
              </w:rPr>
              <w:t>Responsible role proposal</w:t>
            </w:r>
          </w:p>
        </w:tc>
        <w:tc>
          <w:tcPr>
            <w:tcW w:type="dxa" w:w="3360"/>
            <w:vAlign w:val="center"/>
            <w:shd w:fill="30383D"/>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color w:val="FFFFFF"/>
                <w:sz w:val="20"/>
              </w:rPr>
              <w:t>Acceptance evidence</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Production email and HTTPS</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Rita and deployment owner</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Real provider delivery and secure session</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PostgreSQL and backup restore</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Engineering owner</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Concurrent workflow and restore logs</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Real-device timetable and usability</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jc w:val="center"/>
            </w:pPr>
            <w:r>
              <w:rPr>
                <w:b w:val="0"/>
                <w:color w:val="000000"/>
                <w:sz w:val="20"/>
              </w:rPr>
              <w:t>Huang Junjie</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Consented task records</w:t>
            </w:r>
          </w:p>
        </w:tc>
      </w:tr>
      <w:tr>
        <w:trPr>
          <w:cantSplit/>
        </w:trPr>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Moderator and incident process</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Team-confirmed operator</w:t>
            </w:r>
          </w:p>
        </w:tc>
        <w:tc>
          <w:tcPr>
            <w:tcW w:type="dxa" w:w="3360"/>
            <w:vAlign w:val="center"/>
            <w:shd w:fill="FFFFFF"/>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Named rota and trial dispute</w:t>
            </w:r>
          </w:p>
        </w:tc>
      </w:tr>
      <w:tr>
        <w:trPr>
          <w:cantSplit/>
        </w:trPr>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Accurate campus handoff labels</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Li Yuanlong and local volunteers</w:t>
            </w:r>
          </w:p>
        </w:tc>
        <w:tc>
          <w:tcPr>
            <w:tcW w:type="dxa" w:w="3360"/>
            <w:vAlign w:val="center"/>
            <w:shd w:fill="F3F5F6"/>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before="60"/>
            </w:pPr>
            <w:r>
              <w:rPr>
                <w:b w:val="0"/>
                <w:color w:val="000000"/>
                <w:sz w:val="20"/>
              </w:rPr>
              <w:t>Dated source and device review</w:t>
            </w:r>
          </w:p>
        </w:tc>
      </w:tr>
    </w:tbl>
    <w:p>
      <w:pPr>
        <w:spacing w:after="80"/>
      </w:pPr>
    </w:p>
    <w:p>
      <w:pPr>
        <w:widowControl/>
      </w:pPr>
      <w:r>
        <w:t>Keep the current service local while these prerequisites remain unresolved. Publish only after the team has a clear operator, appropriate policies and real acceptance evidence. A successful build or dependency audit alone does not prove that the service is production-ready.</w:t>
      </w:r>
    </w:p>
    <w:p>
      <w:r>
        <w:br w:type="page"/>
      </w:r>
    </w:p>
    <w:p>
      <w:pPr>
        <w:pStyle w:val="Heading1"/>
      </w:pPr>
      <w:r>
        <w:t>Team charter, contributions and submission</w:t>
      </w:r>
    </w:p>
    <w:p>
      <w:pPr>
        <w:widowControl/>
      </w:pPr>
      <w:r>
        <w:t>Proposed charter: the team makes product decisions through recorded discussion, keeps a single evidence register and assigns an identifiable owner to each deliverable. A decision record contains the issue, alternatives, evidence, decision, responsible member and review date. Disagreements about evidence quality go to the mentor before they become unsupported pitch claims.</w:t>
      </w:r>
    </w:p>
    <w:p>
      <w:pPr>
        <w:widowControl/>
      </w:pPr>
      <w:r>
        <w:t>The team should confirm its roles, communication cadence and contribution-review method. Signatures and approvals are deliberately absent until the members agree. Personal reflection relies on actual contributions, setbacks, feedback and adaptation. A proposed allocation is not evidence that a member performed the work.</w:t>
      </w:r>
    </w:p>
    <w:p>
      <w:pPr>
        <w:widowControl/>
      </w:pPr>
      <w:r>
        <w:t>AI-use disclosure draft: We used an AI coding and drafting assistant to inspect and revise prototype code, prepare regression tests, organise venture assumptions and produce draft presentation/support materials. Team members will verify source claims, calculations, technical results and final wording. Synthetic fixtures and planning assumptions are labelled. Individual reflections must identify each member's own work and any AI support in accordance with the approved university disclosure format.</w:t>
      </w:r>
    </w:p>
    <w:p>
      <w:pPr>
        <w:widowControl/>
      </w:pPr>
      <w:r>
        <w:t>For A1, submit exactly six slides without an appendix by 6 November 2026 at 23:59 and retain both required receipts. For A2, record a 3-6 minute group pitch by 18 December. The supplied script includes time allocation, demo steps and fallback shots; the video itself requires filming and export.</w:t>
      </w:r>
    </w:p>
    <w:p>
      <w:pPr>
        <w:widowControl/>
      </w:pPr>
      <w:r>
        <w:t>For A3, update this twelve-slide baseline with authentic findings and the March product state before 21 March 2027 at 23:59 Beijing. Rehearse the live pitch for 22-26 March. For A4, each student independently owns the reflection submitted by 16 April. The seven role-specific files are writing support, not finished autobiographical reports.</w:t>
      </w:r>
    </w:p>
    <w:p>
      <w:pPr>
        <w:widowControl/>
      </w:pPr>
      <w:r>
        <w:t>Before submission, obtain the separate assessment brief, confirm group number and cover details, verify permitted AI use, remove rehearsal-only evidence and check the uploaded files open. Future week logs, interviews, consent forms, signatures, receipts and the final MP4 cannot be pre-certified by a drafting package.</w:t>
      </w:r>
    </w:p>
    <w:p>
      <w:r>
        <w:br w:type="page"/>
      </w:r>
    </w:p>
    <w:p>
      <w:pPr>
        <w:pStyle w:val="Heading1"/>
      </w:pPr>
      <w:r>
        <w:t>Sources and evidence register</w:t>
      </w:r>
    </w:p>
    <w:p>
      <w:pPr>
        <w:widowControl/>
      </w:pPr>
      <w:r>
        <w:t>The authentic handbook controls the submission matrix unless a separate assessment brief provides a more specific requirement. Official webpages support only the directly described market facts. The scenario workbook remains a planning model. Engineering tests support technical claims for their tested environment only.</w:t>
      </w:r>
    </w:p>
    <w:p>
      <w:pPr>
        <w:widowControl/>
      </w:pPr>
      <w:r>
        <w:t>All webpages below were reviewed on 6 October 2026. Re-check them before the March 2027 presentation. Keep actual participant data in a restricted research folder, not in a public GitHub repository. The package includes no authentic primary-research results.</w:t>
      </w:r>
    </w:p>
    <w:p>
      <w:pPr>
        <w:widowControl/>
      </w:pPr>
      <w:r>
        <w:t>H1. ENT303TC 2026/27 Module Handbook</w:t>
        <w:br/>
        <w:t>User-supplied PDF, pages 3-6</w:t>
        <w:br/>
        <w:t>Assessment format, dates and weekly checkpoints. Separate assessment brief takes precedence.</w:t>
      </w:r>
    </w:p>
    <w:p>
      <w:pPr>
        <w:widowControl/>
      </w:pPr>
      <w:r>
        <w:t>S1. XJTLU Overview</w:t>
        <w:br/>
        <w:t>https://www.xjtlu.edu.cn/en/overview</w:t>
        <w:br/>
        <w:t>26,000+ students, updated May 2026. Institution-wide context, not a verified campus-reachable count.</w:t>
      </w:r>
    </w:p>
    <w:p>
      <w:pPr>
        <w:widowControl/>
      </w:pPr>
      <w:r>
        <w:t>S2. Goofish official homepage</w:t>
        <w:br/>
        <w:t>https://www.goofish.com/</w:t>
        <w:br/>
        <w:t>General second-hand marketplace. Homepage review cannot establish absence of particular features.</w:t>
      </w:r>
    </w:p>
    <w:p>
      <w:pPr>
        <w:widowControl/>
      </w:pPr>
      <w:r>
        <w:t>S3. Renrenzu official marketplace</w:t>
        <w:br/>
        <w:t>https://www.rrzu.com/home/index</w:t>
        <w:br/>
        <w:t>Rental listings and commercial rental service. Terms vary by item.</w:t>
      </w:r>
    </w:p>
    <w:p>
      <w:pPr>
        <w:widowControl/>
      </w:pPr>
      <w:r>
        <w:t>S4. Aihuishou official homepage</w:t>
        <w:br/>
        <w:t>https://www.aihuishou.com/</w:t>
        <w:br/>
        <w:t>Recycling and second-hand retail. Do not describe it as recycling only.</w:t>
      </w:r>
    </w:p>
    <w:p>
      <w:pPr>
        <w:widowControl/>
      </w:pPr>
      <w:r>
        <w:t>E1. Local code and automated checks</w:t>
        <w:br/>
        <w:t>xjtlu-market-app/scripts</w:t>
        <w:br/>
        <w:t>Engineering evidence from isolated synthetic fixtures, not user-research or production evidence.</w:t>
      </w:r>
    </w:p>
    <w:p>
      <w:pPr>
        <w:widowControl/>
      </w:pPr>
      <w:r>
        <w:t>Claim examples: market context links to S1; competitor purposes link to S2-S4; local workflow claims link to E1 and the release report. Demand, activation, completion rates, costs, team roles and decision thresholds remain assumptions until the team records relevant authentic evidence.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 Use  |  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Arial" w:hAnsi="Arial"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ascii="Arial" w:hAnsi="Arial" w:eastAsia="Arial Unicode M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Unicode M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