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Fusion credentials in the browser</w:t>
      </w:r>
      <w:r>
        <w:rPr>
          <w:b w:val="0"/>
          <w:i w:val="0"/>
        </w:rPr>
        <w:t xml:space="preserve"> (NFR-005). The screens do read Fusion live (§2) — what is barred is the client </w:t>
      </w:r>
      <w:r>
        <w:rPr>
          <w:b w:val="0"/>
          <w:i/>
        </w:rPr>
        <w:t>holding a credential</w:t>
      </w:r>
      <w:r>
        <w:rPr>
          <w:b w:val="0"/>
          <w:i w:val="0"/>
        </w:rPr>
        <w:t xml:space="preserve"> to do it. Every call is either made server-side or forwarded by a server-side proxy that attaches the credential, so nothing secret reaches the browser. Which of those two, see §2.4.</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2"/>
      </w:pPr>
      <w:r>
        <w:t>2.4 Where the call is made from — open</w:t>
      </w:r>
    </w:p>
    <w:p>
      <w:r>
        <w:rPr>
          <w:b w:val="0"/>
          <w:i w:val="0"/>
        </w:rPr>
        <w:t>Two placements satisfy the constraint above, and they are not equivalent.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Placement</w:t>
            </w:r>
          </w:p>
        </w:tc>
        <w:tc>
          <w:tcPr>
            <w:tcW w:type="dxa" w:w="3264"/>
            <w:shd w:val="clear" w:fill="F1F3F6"/>
          </w:tcPr>
          <w:p>
            <w:pPr>
              <w:spacing w:after="40"/>
            </w:pPr>
            <w:r/>
            <w:r>
              <w:rPr>
                <w:b/>
                <w:i w:val="0"/>
              </w:rPr>
              <w:t>What it gives</w:t>
            </w:r>
          </w:p>
        </w:tc>
        <w:tc>
          <w:tcPr>
            <w:tcW w:type="dxa" w:w="3264"/>
            <w:shd w:val="clear" w:fill="F1F3F6"/>
          </w:tcPr>
          <w:p>
            <w:pPr>
              <w:spacing w:after="40"/>
            </w:pPr>
            <w:r/>
            <w:r>
              <w:rPr>
                <w:b/>
                <w:i w:val="0"/>
              </w:rPr>
              <w:t>What it costs</w:t>
            </w:r>
          </w:p>
        </w:tc>
      </w:tr>
      <w:tr>
        <w:tc>
          <w:tcPr>
            <w:tcW w:type="dxa" w:w="3264"/>
          </w:tcPr>
          <w:p>
            <w:pPr>
              <w:spacing w:after="40"/>
            </w:pPr>
            <w:r/>
            <w:r>
              <w:rPr>
                <w:b/>
                <w:i w:val="0"/>
              </w:rPr>
              <w:t>From the page, through the server-side proxy</w:t>
            </w:r>
          </w:p>
        </w:tc>
        <w:tc>
          <w:tcPr>
            <w:tcW w:type="dxa" w:w="3264"/>
          </w:tcPr>
          <w:p>
            <w:pPr>
              <w:spacing w:after="40"/>
            </w:pPr>
            <w:r/>
            <w:r>
              <w:rPr>
                <w:b w:val="0"/>
                <w:i w:val="0"/>
              </w:rPr>
              <w:t>Already proven — the Fusion backend is configured and answers today. Nothing new to install, and the credential is attached by the server, never by the client.</w:t>
            </w:r>
          </w:p>
        </w:tc>
        <w:tc>
          <w:tcPr>
            <w:tcW w:type="dxa" w:w="3264"/>
          </w:tcPr>
          <w:p>
            <w:pPr>
              <w:spacing w:after="40"/>
            </w:pPr>
            <w:r/>
            <w:r>
              <w:rPr>
                <w:b w:val="0"/>
                <w:i w:val="0"/>
              </w:rPr>
              <w:t>Data fetched this way does not pass through the rules in the database, so nothing validates it. Workable only if what the user picked is written back with the entry — which is what the POET snapshot in 3.1 does.</w:t>
            </w:r>
          </w:p>
        </w:tc>
      </w:tr>
      <w:tr>
        <w:tc>
          <w:tcPr>
            <w:tcW w:type="dxa" w:w="3264"/>
          </w:tcPr>
          <w:p>
            <w:pPr>
              <w:spacing w:after="40"/>
            </w:pPr>
            <w:r/>
            <w:r>
              <w:rPr>
                <w:b/>
                <w:i w:val="0"/>
              </w:rPr>
              <w:t>From the database, server-side</w:t>
            </w:r>
          </w:p>
        </w:tc>
        <w:tc>
          <w:tcPr>
            <w:tcW w:type="dxa" w:w="3264"/>
          </w:tcPr>
          <w:p>
            <w:pPr>
              <w:spacing w:after="40"/>
            </w:pPr>
            <w:r/>
            <w:r>
              <w:rPr>
                <w:b w:val="0"/>
                <w:i w:val="0"/>
              </w:rPr>
              <w:t>One path for screens, defaulting and validation alike; every rule keeps working unchanged.</w:t>
            </w:r>
          </w:p>
        </w:tc>
        <w:tc>
          <w:tcPr>
            <w:tcW w:type="dxa" w:w="3264"/>
          </w:tcPr>
          <w:p>
            <w:pPr>
              <w:spacing w:after="40"/>
            </w:pPr>
            <w:r/>
            <w:r>
              <w:rPr>
                <w:b w:val="0"/>
                <w:i w:val="0"/>
              </w:rPr>
              <w:t xml:space="preserve">Requires outbound HTTPS from the database — a privilege grant and a network rule that </w:t>
            </w:r>
            <w:r>
              <w:rPr>
                <w:b/>
                <w:i w:val="0"/>
              </w:rPr>
              <w:t>have not been requested or proven on this environment</w:t>
            </w:r>
            <w:r>
              <w:rPr>
                <w:b w:val="0"/>
                <w:i w:val="0"/>
              </w:rPr>
              <w:t>. Until they are, this option is not known to be available.</w:t>
            </w:r>
          </w:p>
        </w:tc>
      </w:tr>
    </w:tbl>
    <w:p/>
    <w:p>
      <w:r>
        <w:rPr>
          <w:b w:val="0"/>
          <w:i w:val="0"/>
          <w:color w:val="55657A"/>
        </w:rPr>
        <w:t>Either satisfies NFR-005. The choice decides how much of the rule enforcement can stay in the database, so it should be settled before the live reads are built — open item 22.</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rPr>
        <w:t>Six statuses, and the same six everywhere.</w:t>
      </w:r>
      <w:r>
        <w:rPr>
          <w:b w:val="0"/>
          <w:i w:val="0"/>
        </w:rPr>
        <w:t xml:space="preserve"> There is not a separate scheme for a day, a week and a month — whichever you are looking at, it is in exactly one of these.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r>
        <w:tc>
          <w:tcPr>
            <w:tcW w:type="dxa" w:w="4896"/>
          </w:tcPr>
          <w:p>
            <w:pPr>
              <w:spacing w:after="40"/>
            </w:pPr>
            <w:r/>
            <w:r>
              <w:rPr>
                <w:b/>
                <w:i w:val="0"/>
              </w:rPr>
              <w:t>Overridden and approved</w:t>
            </w:r>
          </w:p>
        </w:tc>
        <w:tc>
          <w:tcPr>
            <w:tcW w:type="dxa" w:w="4896"/>
          </w:tcPr>
          <w:p>
            <w:pPr>
              <w:spacing w:after="40"/>
            </w:pPr>
            <w:r/>
            <w:r>
              <w:rPr>
                <w:b w:val="0"/>
                <w:i w:val="0"/>
              </w:rPr>
              <w:t>the manager changed the hours and accepted them</w:t>
            </w:r>
          </w:p>
        </w:tc>
      </w:tr>
    </w:tbl>
    <w:p/>
    <w:p>
      <w:r>
        <w:rPr>
          <w:b w:val="0"/>
          <w:i w:val="0"/>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Any number apply at once, and a record is never </w:t>
      </w:r>
      <w:r>
        <w:rPr>
          <w:b w:val="0"/>
          <w:i/>
        </w:rPr>
        <w:t>in</w:t>
      </w:r>
      <w:r>
        <w:rPr>
          <w:b w:val="0"/>
          <w:i w:val="0"/>
        </w:rPr>
        <w:t xml:space="preserve"> a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and the diagram in 7 shows which event raises each. There is no separate “Locked” flag — locking is what a submitter-side </w:t>
      </w:r>
      <w:r>
        <w:rPr>
          <w:b w:val="0"/>
          <w:i/>
          <w:color w:val="55657A"/>
        </w:rPr>
        <w:t>Defaulted</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t>
      </w:r>
      <w:r>
        <w:rPr>
          <w:b/>
          <w:i w:val="0"/>
        </w:rPr>
        <w:t>status</w:t>
      </w:r>
      <w:r>
        <w:rPr>
          <w:b w:val="0"/>
          <w:i w:val="0"/>
        </w:rPr>
        <w:t xml:space="preserve"> and as a </w:t>
      </w:r>
      <w:r>
        <w:rPr>
          <w:b/>
          <w:i w:val="0"/>
        </w:rPr>
        <w:t>flag</w:t>
      </w:r>
      <w:r>
        <w:rPr>
          <w:b w:val="0"/>
          <w:i w:val="0"/>
        </w:rPr>
        <w:t xml:space="preserve">. The status says what it is now; the flag says it happened at all and survives a later transition — something defaulted and then approved reads </w:t>
      </w:r>
      <w:r>
        <w:rPr>
          <w:rFonts w:ascii="Consolas" w:hAnsi="Consolas"/>
          <w:b w:val="0"/>
          <w:i w:val="0"/>
          <w:sz w:val="18"/>
        </w:rPr>
        <w:t>Approved</w:t>
      </w:r>
      <w:r>
        <w:rPr>
          <w:b w:val="0"/>
          <w:i w:val="0"/>
        </w:rPr>
        <w:t xml:space="preserve"> with the defaulted flag still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it is stored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status and all six flags for a week,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status for a single date, from the same set;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status set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r>
        <w:tc>
          <w:tcPr>
            <w:tcW w:type="dxa" w:w="3264"/>
          </w:tcPr>
          <w:p>
            <w:pPr>
              <w:spacing w:after="40"/>
            </w:pPr>
            <w:r/>
            <w:r>
              <w:rPr>
                <w:b w:val="0"/>
                <w:i w:val="0"/>
              </w:rPr>
              <w:t>22</w:t>
            </w:r>
          </w:p>
        </w:tc>
        <w:tc>
          <w:tcPr>
            <w:tcW w:type="dxa" w:w="3264"/>
          </w:tcPr>
          <w:p>
            <w:pPr>
              <w:spacing w:after="40"/>
            </w:pPr>
            <w:r/>
            <w:r>
              <w:rPr>
                <w:b/>
                <w:i w:val="0"/>
              </w:rPr>
              <w:t>Where the live Fusion call is made from</w:t>
            </w:r>
            <w:r>
              <w:rPr>
                <w:b w:val="0"/>
                <w:i w:val="0"/>
              </w:rPr>
              <w:t xml:space="preserve"> — the page through the server-side proxy, or the database (§2.4). Decides how much rule enforcement can stay in the database; the database option needs a privilege grant that has not been proven here.</w:t>
            </w:r>
          </w:p>
        </w:tc>
        <w:tc>
          <w:tcPr>
            <w:tcW w:type="dxa" w:w="3264"/>
          </w:tcPr>
          <w:p>
            <w:pPr>
              <w:spacing w:after="40"/>
            </w:pPr>
            <w:r/>
            <w:r>
              <w:rPr>
                <w:b w:val="0"/>
                <w:i w:val="0"/>
              </w:rPr>
              <w:t>build decision — needs a spike</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p>
      <w:pPr>
        <w:jc w:val="center"/>
      </w:pPr>
      <w:r>
        <w:drawing>
          <wp:inline xmlns:a="http://schemas.openxmlformats.org/drawingml/2006/main" xmlns:pic="http://schemas.openxmlformats.org/drawingml/2006/picture">
            <wp:extent cx="5760720" cy="45092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4509253"/>
                    </a:xfrm>
                    <a:prstGeom prst="rect"/>
                  </pic:spPr>
                </pic:pic>
              </a:graphicData>
            </a:graphic>
          </wp:inline>
        </w:drawing>
      </w:r>
    </w:p>
    <w:p>
      <w:pPr>
        <w:jc w:val="center"/>
      </w:pPr>
      <w:r>
        <w:rPr>
          <w:b w:val="0"/>
          <w:i/>
          <w:color w:val="55657A"/>
          <w:sz w:val="17"/>
        </w:rPr>
        <w:t>Flow 1 — inbound. Everything read live from Fusion, and what each read feeds.</w:t>
      </w:r>
    </w:p>
    <w:p>
      <w:pPr>
        <w:pStyle w:val="Heading3"/>
      </w:pPr>
      <w:r>
        <w:t>Lifecycle — status and the flags each event raises</w:t>
      </w:r>
    </w:p>
    <w:p>
      <w:r>
        <w:rPr>
          <w:b w:val="0"/>
          <w:i w:val="0"/>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pPr>
        <w:jc w:val="center"/>
      </w:pPr>
      <w:r>
        <w:drawing>
          <wp:inline xmlns:a="http://schemas.openxmlformats.org/drawingml/2006/main" xmlns:pic="http://schemas.openxmlformats.org/drawingml/2006/picture">
            <wp:extent cx="5760720" cy="65586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6558613"/>
                    </a:xfrm>
                    <a:prstGeom prst="rect"/>
                  </pic:spPr>
                </pic:pic>
              </a:graphicData>
            </a:graphic>
          </wp:inline>
        </w:drawing>
      </w:r>
    </w:p>
    <w:p>
      <w:pPr>
        <w:jc w:val="center"/>
      </w:pPr>
      <w:r>
        <w:rPr>
          <w:b w:val="0"/>
          <w:i/>
          <w:color w:val="55657A"/>
          <w:sz w:val="17"/>
        </w:rPr>
        <w:t>Lifecycle — the six statuses, with the flag each event raises shown on the edge.</w:t>
      </w:r>
    </w:p>
    <w:p>
      <w:r>
        <w:rPr>
          <w:b/>
          <w:i w:val="0"/>
          <w:color w:val="55657A"/>
        </w:rPr>
        <w:t>The flags each event raises:</w:t>
      </w:r>
      <w:r>
        <w:rPr>
          <w:b w:val="0"/>
          <w:i w:val="0"/>
          <w:color w:val="55657A"/>
        </w:rPr>
        <w:t xml:space="preserve"> submitting late raises </w:t>
      </w:r>
      <w:r>
        <w:rPr>
          <w:b w:val="0"/>
          <w:i/>
          <w:color w:val="55657A"/>
        </w:rPr>
        <w:t>Late submission</w:t>
      </w:r>
      <w:r>
        <w:rPr>
          <w:b w:val="0"/>
          <w:i w:val="0"/>
          <w:color w:val="55657A"/>
        </w:rPr>
        <w:t xml:space="preserve">; a cut-off raises </w:t>
      </w:r>
      <w:r>
        <w:rPr>
          <w:b w:val="0"/>
          <w:i/>
          <w:color w:val="55657A"/>
        </w:rPr>
        <w:t>Defaulted</w:t>
      </w:r>
      <w:r>
        <w:rPr>
          <w:b w:val="0"/>
          <w:i w:val="0"/>
          <w:color w:val="55657A"/>
        </w:rPr>
        <w:t xml:space="preserve"> and, if it was the submitter’s deadline, locks further edits; overriding raises </w:t>
      </w:r>
      <w:r>
        <w:rPr>
          <w:b w:val="0"/>
          <w:i/>
          <w:color w:val="55657A"/>
        </w:rPr>
        <w:t>Overridden &amp; approved</w:t>
      </w:r>
      <w:r>
        <w:rPr>
          <w:b w:val="0"/>
          <w:i w:val="0"/>
          <w:color w:val="55657A"/>
        </w:rPr>
        <w:t xml:space="preserve">; closing ahead of the cut-off raises </w:t>
      </w:r>
      <w:r>
        <w:rPr>
          <w:b w:val="0"/>
          <w:i/>
          <w:color w:val="55657A"/>
        </w:rPr>
        <w:t>Advance closure</w:t>
      </w:r>
      <w:r>
        <w:rPr>
          <w:b w:val="0"/>
          <w:i w:val="0"/>
          <w:color w:val="55657A"/>
        </w:rPr>
        <w:t xml:space="preserve">. </w:t>
      </w:r>
      <w:r>
        <w:rPr>
          <w:b w:val="0"/>
          <w:i/>
          <w:color w:val="55657A"/>
        </w:rPr>
        <w:t>Reversal</w:t>
      </w:r>
      <w:r>
        <w:rPr>
          <w:b w:val="0"/>
          <w:i w:val="0"/>
          <w:color w:val="55657A"/>
        </w:rPr>
        <w:t xml:space="preserve"> and </w:t>
      </w:r>
      <w:r>
        <w:rPr>
          <w:b w:val="0"/>
          <w:i/>
          <w:color w:val="55657A"/>
        </w:rPr>
        <w:t>Adjustment</w:t>
      </w:r>
      <w:r>
        <w:rPr>
          <w:b w:val="0"/>
          <w:i w:val="0"/>
          <w:color w:val="55657A"/>
        </w:rPr>
        <w:t xml:space="preserve"> are derived from the entries rather than raised by a transition. Detail in 3.3.</w:t>
      </w:r>
    </w:p>
    <w:p>
      <w:pPr>
        <w:pStyle w:val="Heading3"/>
      </w:pPr>
      <w:r>
        <w:t>Flow 2 — outbound: what leaves, at which grain, in which order</w:t>
      </w:r>
    </w:p>
    <w:p>
      <w:pPr>
        <w:jc w:val="center"/>
      </w:pPr>
      <w:r>
        <w:drawing>
          <wp:inline xmlns:a="http://schemas.openxmlformats.org/drawingml/2006/main" xmlns:pic="http://schemas.openxmlformats.org/drawingml/2006/picture">
            <wp:extent cx="5760720" cy="533032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5330321"/>
                    </a:xfrm>
                    <a:prstGeom prst="rect"/>
                  </pic:spPr>
                </pic:pic>
              </a:graphicData>
            </a:graphic>
          </wp:inline>
        </w:drawing>
      </w:r>
    </w:p>
    <w:p>
      <w:pPr>
        <w:jc w:val="center"/>
      </w:pPr>
      <w:r>
        <w:rPr>
          <w:b w:val="0"/>
          <w:i/>
          <w:color w:val="55657A"/>
          <w:sz w:val="17"/>
        </w:rPr>
        <w:t>Flow 2 — outbound. What leaves once a month is confirmed, at which grain and in which order.</w:t>
      </w:r>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rPr>
        <w:t>Six statuses,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Manager overrides the hours and approves</w:t>
            </w:r>
          </w:p>
        </w:tc>
        <w:tc>
          <w:tcPr>
            <w:tcW w:type="dxa" w:w="2448"/>
          </w:tcPr>
          <w:p>
            <w:pPr>
              <w:spacing w:after="40"/>
            </w:pPr>
            <w:r/>
            <w:r>
              <w:rPr>
                <w:b/>
                <w:i w:val="0"/>
              </w:rPr>
              <w:t>Overridden and approved</w:t>
            </w:r>
          </w:p>
        </w:tc>
        <w:tc>
          <w:tcPr>
            <w:tcW w:type="dxa" w:w="2448"/>
          </w:tcPr>
          <w:p>
            <w:pPr>
              <w:spacing w:after="40"/>
            </w:pPr>
            <w:r/>
            <w:r>
              <w:rPr>
                <w:b w:val="0"/>
                <w:i w:val="0"/>
              </w:rPr>
              <w:t xml:space="preserve">+ </w:t>
            </w:r>
            <w:r>
              <w:rPr>
                <w:b w:val="0"/>
                <w:i/>
              </w:rPr>
              <w:t>Overridden &amp; approved</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every date in it goes back to awaiting a decision;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 xml:space="preserve">Approved </w:t>
            </w:r>
            <w:r>
              <w:rPr>
                <w:b w:val="0"/>
                <w:i/>
              </w:rPr>
              <w:t>or</w:t>
            </w:r>
            <w:r>
              <w:rPr>
                <w:b w:val="0"/>
                <w:i w:val="0"/>
              </w:rPr>
              <w:t xml:space="preserve"> Overridden and 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puts every date back to awaiting a decision — without that reset the approver could not act on it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