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of hours with the employee’s original value retained.</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rPr>
        <w:t xml:space="preserve"> to the O2C accrual interface.</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no Payroll Time Type is resolved and no payroll reference data is read.</w:t>
      </w:r>
    </w:p>
    <w:p>
      <w:pPr>
        <w:pStyle w:val="ListBullet"/>
      </w:pPr>
      <w:r>
        <w:rPr>
          <w:b/>
          <w:i w:val="0"/>
        </w:rPr>
        <w:t>Salary hold — removed from scope for now.</w:t>
      </w:r>
      <w:r>
        <w:rPr>
          <w:b w:val="0"/>
          <w:i w:val="0"/>
        </w:rPr>
        <w:t xml:space="preserve"> The module does not signal, hold or release anyone’s pay. A week that missed the weekly cut-off is still marked </w:t>
      </w:r>
      <w:r>
        <w:rPr>
          <w:b w:val="0"/>
          <w:i/>
        </w:rPr>
        <w:t>Defaulted</w:t>
      </w:r>
      <w:r>
        <w:rPr>
          <w:b w:val="0"/>
          <w:i w:val="0"/>
        </w:rPr>
        <w:t xml:space="preserve"> and locked, and </w:t>
      </w:r>
      <w:r>
        <w:rPr>
          <w:rFonts w:ascii="Consolas" w:hAnsi="Consolas"/>
          <w:b w:val="0"/>
          <w:i w:val="0"/>
          <w:sz w:val="18"/>
        </w:rPr>
        <w:t>DEFAULTED_BY</w:t>
      </w:r>
      <w:r>
        <w:rPr>
          <w:b w:val="0"/>
          <w:i w:val="0"/>
        </w:rPr>
        <w:t xml:space="preserve"> still records whether the employee or the manager missed it — but nothing downstream follows from that.</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Invoice generation and revenue calculation.</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w:t>
      </w:r>
    </w:p>
    <w:p>
      <w:pPr>
        <w:pStyle w:val="ListBullet"/>
      </w:pPr>
      <w:r>
        <w:rPr>
          <w:b/>
          <w:i w:val="0"/>
        </w:rPr>
        <w:t>Mobile</w:t>
      </w:r>
      <w:r>
        <w:rPr>
          <w:b w:val="0"/>
          <w:i w:val="0"/>
        </w:rPr>
        <w:t xml:space="preserve"> — phase 2.</w:t>
      </w:r>
    </w:p>
    <w:p>
      <w:pPr>
        <w:pStyle w:val="ListBullet"/>
      </w:pPr>
      <w:r>
        <w:rPr>
          <w:b/>
          <w:i w:val="0"/>
        </w:rPr>
        <w:t>Direct Fusion calls from the browser</w:t>
      </w:r>
      <w:r>
        <w:rPr>
          <w:b w:val="0"/>
          <w:i w:val="0"/>
        </w:rPr>
        <w:t xml:space="preserve"> with credentials in the client (NFR-005). All Fusion traffic is server-side or proxied.</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The two cut-off runs are the only remaining scheduled work, and they process time already captured rather than fetching reference data. They are independent of each other and of any other job.</w:t>
      </w:r>
    </w:p>
    <w:p>
      <w:pPr>
        <w:pStyle w:val="Heading2"/>
      </w:pPr>
      <w:r>
        <w:t>3.2 Status — one set, one flow</w:t>
      </w:r>
    </w:p>
    <w:p>
      <w:r>
        <w:rPr>
          <w:b/>
          <w:i w:val="0"/>
        </w:rPr>
        <w:t>Six statuses, and the same six everywhere.</w:t>
      </w:r>
      <w:r>
        <w:rPr>
          <w:b w:val="0"/>
          <w:i w:val="0"/>
        </w:rPr>
        <w:t xml:space="preserve"> There is not a separate scheme for a day, a week and a month — whichever you are looking at, it is in exactly one of these.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Status</w:t>
            </w:r>
          </w:p>
        </w:tc>
        <w:tc>
          <w:tcPr>
            <w:tcW w:type="dxa" w:w="4896"/>
            <w:shd w:val="clear" w:fill="F1F3F6"/>
          </w:tcPr>
          <w:p>
            <w:pPr>
              <w:spacing w:after="40"/>
            </w:pPr>
            <w:r/>
            <w:r>
              <w:rPr>
                <w:b/>
                <w:i w:val="0"/>
              </w:rPr>
              <w:t>Means</w:t>
            </w:r>
          </w:p>
        </w:tc>
      </w:tr>
      <w:tr>
        <w:tc>
          <w:tcPr>
            <w:tcW w:type="dxa" w:w="4896"/>
          </w:tcPr>
          <w:p>
            <w:pPr>
              <w:spacing w:after="40"/>
            </w:pPr>
            <w:r/>
            <w:r>
              <w:rPr>
                <w:b/>
                <w:i w:val="0"/>
              </w:rPr>
              <w:t>Not yet submitted</w:t>
            </w:r>
          </w:p>
        </w:tc>
        <w:tc>
          <w:tcPr>
            <w:tcW w:type="dxa" w:w="4896"/>
          </w:tcPr>
          <w:p>
            <w:pPr>
              <w:spacing w:after="40"/>
            </w:pPr>
            <w:r/>
            <w:r>
              <w:rPr>
                <w:b w:val="0"/>
                <w:i w:val="0"/>
              </w:rPr>
              <w:t>with the employee; still theirs to change</w:t>
            </w:r>
          </w:p>
        </w:tc>
      </w:tr>
      <w:tr>
        <w:tc>
          <w:tcPr>
            <w:tcW w:type="dxa" w:w="4896"/>
          </w:tcPr>
          <w:p>
            <w:pPr>
              <w:spacing w:after="40"/>
            </w:pPr>
            <w:r/>
            <w:r>
              <w:rPr>
                <w:b/>
                <w:i w:val="0"/>
              </w:rPr>
              <w:t>Submitted</w:t>
            </w:r>
          </w:p>
        </w:tc>
        <w:tc>
          <w:tcPr>
            <w:tcW w:type="dxa" w:w="4896"/>
          </w:tcPr>
          <w:p>
            <w:pPr>
              <w:spacing w:after="40"/>
            </w:pPr>
            <w:r/>
            <w:r>
              <w:rPr>
                <w:b w:val="0"/>
                <w:i w:val="0"/>
              </w:rPr>
              <w:t>with the manager, awaiting a decision; frozen to the employee</w:t>
            </w:r>
          </w:p>
        </w:tc>
      </w:tr>
      <w:tr>
        <w:tc>
          <w:tcPr>
            <w:tcW w:type="dxa" w:w="4896"/>
          </w:tcPr>
          <w:p>
            <w:pPr>
              <w:spacing w:after="40"/>
            </w:pPr>
            <w:r/>
            <w:r>
              <w:rPr>
                <w:b/>
                <w:i w:val="0"/>
              </w:rPr>
              <w:t>Approved</w:t>
            </w:r>
          </w:p>
        </w:tc>
        <w:tc>
          <w:tcPr>
            <w:tcW w:type="dxa" w:w="4896"/>
          </w:tcPr>
          <w:p>
            <w:pPr>
              <w:spacing w:after="40"/>
            </w:pPr>
            <w:r/>
            <w:r>
              <w:rPr>
                <w:b w:val="0"/>
                <w:i w:val="0"/>
              </w:rPr>
              <w:t>decided and accepted</w:t>
            </w:r>
          </w:p>
        </w:tc>
      </w:tr>
      <w:tr>
        <w:tc>
          <w:tcPr>
            <w:tcW w:type="dxa" w:w="4896"/>
          </w:tcPr>
          <w:p>
            <w:pPr>
              <w:spacing w:after="40"/>
            </w:pPr>
            <w:r/>
            <w:r>
              <w:rPr>
                <w:b/>
                <w:i w:val="0"/>
              </w:rPr>
              <w:t>Rejected</w:t>
            </w:r>
          </w:p>
        </w:tc>
        <w:tc>
          <w:tcPr>
            <w:tcW w:type="dxa" w:w="4896"/>
          </w:tcPr>
          <w:p>
            <w:pPr>
              <w:spacing w:after="40"/>
            </w:pPr>
            <w:r/>
            <w:r>
              <w:rPr>
                <w:b w:val="0"/>
                <w:i w:val="0"/>
              </w:rPr>
              <w:t>sent back with a reason; with the employee again</w:t>
            </w:r>
          </w:p>
        </w:tc>
      </w:tr>
      <w:tr>
        <w:tc>
          <w:tcPr>
            <w:tcW w:type="dxa" w:w="4896"/>
          </w:tcPr>
          <w:p>
            <w:pPr>
              <w:spacing w:after="40"/>
            </w:pPr>
            <w:r/>
            <w:r>
              <w:rPr>
                <w:b/>
                <w:i w:val="0"/>
              </w:rPr>
              <w:t>Defaulted</w:t>
            </w:r>
          </w:p>
        </w:tc>
        <w:tc>
          <w:tcPr>
            <w:tcW w:type="dxa" w:w="4896"/>
          </w:tcPr>
          <w:p>
            <w:pPr>
              <w:spacing w:after="40"/>
            </w:pPr>
            <w:r/>
            <w:r>
              <w:rPr>
                <w:b w:val="0"/>
                <w:i w:val="0"/>
              </w:rPr>
              <w:t>a cut-off filled it in because nobody did</w:t>
            </w:r>
          </w:p>
        </w:tc>
      </w:tr>
      <w:tr>
        <w:tc>
          <w:tcPr>
            <w:tcW w:type="dxa" w:w="4896"/>
          </w:tcPr>
          <w:p>
            <w:pPr>
              <w:spacing w:after="40"/>
            </w:pPr>
            <w:r/>
            <w:r>
              <w:rPr>
                <w:b/>
                <w:i w:val="0"/>
              </w:rPr>
              <w:t>Overridden and approved</w:t>
            </w:r>
          </w:p>
        </w:tc>
        <w:tc>
          <w:tcPr>
            <w:tcW w:type="dxa" w:w="4896"/>
          </w:tcPr>
          <w:p>
            <w:pPr>
              <w:spacing w:after="40"/>
            </w:pPr>
            <w:r/>
            <w:r>
              <w:rPr>
                <w:b w:val="0"/>
                <w:i w:val="0"/>
              </w:rPr>
              <w:t>the manager changed the hours and accepted them</w:t>
            </w:r>
          </w:p>
        </w:tc>
      </w:tr>
    </w:tbl>
    <w:p/>
    <w:p>
      <w:r>
        <w:rPr>
          <w:b w:val="0"/>
          <w:i w:val="0"/>
          <w:color w:val="55657A"/>
        </w:rPr>
        <w:t>The same six describe a single date, a week, or a whole month — the transitions do not change with the level. Approving one date and approving a week are the same transition applied to a different amount of the timesheet, which is why there is one flow in 7.2 rather than three.</w:t>
      </w:r>
    </w:p>
    <w:p>
      <w:pPr>
        <w:spacing w:before="120" w:after="160"/>
        <w:ind w:left="288"/>
        <w:pBdr>
          <w:left w:val="single" w:sz="18" w:space="8" w:color="D9A53C"/>
        </w:pBdr>
      </w:pPr>
      <w:r>
        <w:rPr>
          <w:b/>
          <w:i w:val="0"/>
          <w:sz w:val="19"/>
        </w:rPr>
        <w:t>Month confirmation is not a seventh status.</w:t>
      </w:r>
      <w:r>
        <w:rPr>
          <w:b w:val="0"/>
          <w:i w:val="0"/>
          <w:sz w:val="19"/>
        </w:rPr>
        <w:t xml:space="preserve"> Confirming a month is an event, recorded once in </w:t>
      </w:r>
      <w:r>
        <w:rPr>
          <w:rFonts w:ascii="Consolas" w:hAnsi="Consolas"/>
          <w:b w:val="0"/>
          <w:i w:val="0"/>
          <w:sz w:val="19"/>
        </w:rPr>
        <w:t>OC_TS_MONTH_CONFIRM</w:t>
      </w:r>
      <w:r>
        <w:rPr>
          <w:b w:val="0"/>
          <w:i w:val="0"/>
          <w:sz w:val="19"/>
        </w:rPr>
        <w:t xml:space="preserve"> together with how it was confirmed — normally, as an advance closure, or after being reopened. It leaves the weeks </w:t>
      </w:r>
      <w:r>
        <w:rPr>
          <w:b w:val="0"/>
          <w:i/>
          <w:sz w:val="19"/>
        </w:rPr>
        <w:t>Approved</w:t>
      </w:r>
      <w:r>
        <w:rPr>
          <w:b w:val="0"/>
          <w:i w:val="0"/>
          <w:sz w:val="19"/>
        </w:rPr>
        <w:t xml:space="preserve">. Anything needing to know whether a month has gone out should ask that table, not read it off a status. </w:t>
      </w:r>
      <w:r>
        <w:rPr>
          <w:sz w:val="19"/>
        </w:rPr>
        <w:br/>
      </w:r>
      <w:r>
        <w:rPr>
          <w:sz w:val="19"/>
        </w:rPr>
        <w:br/>
      </w:r>
      <w:r>
        <w:rPr>
          <w:b/>
          <w:i w:val="0"/>
          <w:sz w:val="19"/>
        </w:rPr>
        <w:t>“Closed” is gone.</w:t>
      </w:r>
      <w:r>
        <w:rPr>
          <w:b w:val="0"/>
          <w:i w:val="0"/>
          <w:sz w:val="19"/>
        </w:rPr>
        <w:t xml:space="preserve"> The model ends at </w:t>
      </w:r>
      <w:r>
        <w:rPr>
          <w:b w:val="0"/>
          <w:i/>
          <w:sz w:val="19"/>
        </w:rPr>
        <w:t>Approved</w:t>
      </w:r>
      <w:r>
        <w:rPr>
          <w:b w:val="0"/>
          <w:i w:val="0"/>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i w:val="0"/>
          <w:sz w:val="19"/>
        </w:rPr>
        <w:t>The schema still holds these separately.</w:t>
      </w:r>
      <w:r>
        <w:rPr>
          <w:b w:val="0"/>
          <w:i w:val="0"/>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b w:val="0"/>
          <w:i/>
          <w:sz w:val="19"/>
        </w:rPr>
        <w:t>schema</w:t>
      </w:r>
      <w:r>
        <w:rPr>
          <w:b w:val="0"/>
          <w:i w:val="0"/>
          <w:sz w:val="19"/>
        </w:rPr>
        <w:t xml:space="preserve"> agree with it is a separate change — open item 21.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Any number apply at once, and a record is never </w:t>
      </w:r>
      <w:r>
        <w:rPr>
          <w:b w:val="0"/>
          <w:i/>
        </w:rPr>
        <w:t>in</w:t>
      </w:r>
      <w:r>
        <w:rPr>
          <w:b w:val="0"/>
          <w:i w:val="0"/>
        </w:rPr>
        <w:t xml:space="preserve"> a flag.</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which </w:t>
            </w:r>
            <w:r>
              <w:rPr>
                <w:b/>
                <w:i w:val="0"/>
              </w:rPr>
              <w:t>locks the week against further employee edits</w:t>
            </w:r>
            <w:r>
              <w:rPr>
                <w:b w:val="0"/>
                <w:i w:val="0"/>
              </w:rPr>
              <w:t xml:space="preserve"> — from </w:t>
            </w:r>
            <w:r>
              <w:rPr>
                <w:rFonts w:ascii="Consolas" w:hAnsi="Consolas"/>
                <w:b w:val="0"/>
                <w:i w:val="0"/>
                <w:sz w:val="18"/>
              </w:rPr>
              <w:t>MANAGER</w:t>
            </w:r>
            <w:r>
              <w:rPr>
                <w:b w:val="0"/>
                <w:i w:val="0"/>
              </w:rPr>
              <w:t xml:space="preserve">, missed the delivery cut-off, which does not lock. The lock is a property of this flag, not a flag of its own. The distinction is kept because it records </w:t>
            </w:r>
            <w:r>
              <w:rPr>
                <w:b w:val="0"/>
                <w:i/>
              </w:rPr>
              <w:t>whose</w:t>
            </w:r>
            <w:r>
              <w:rPr>
                <w:b w:val="0"/>
                <w:i w:val="0"/>
              </w:rPr>
              <w:t xml:space="preserve"> deadline passed, which the audit needs regardless.</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rPr>
              <w:t>Overridden &amp; approved</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and approved them. The employee’s original value is retained in the audit trail. Also a </w:t>
            </w:r>
            <w:r>
              <w:rPr>
                <w:b w:val="0"/>
                <w:i/>
              </w:rPr>
              <w:t>status</w:t>
            </w:r>
            <w:r>
              <w:rPr>
                <w:b w:val="0"/>
                <w:i w:val="0"/>
              </w:rPr>
              <w:t xml:space="preserve"> — see 3.4.</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 xml:space="preserve">Six flags, and the diagram in 7 shows which event raises each. There is no separate “Locked” flag — locking is what a submitter-side </w:t>
      </w:r>
      <w:r>
        <w:rPr>
          <w:b w:val="0"/>
          <w:i/>
          <w:color w:val="55657A"/>
        </w:rPr>
        <w:t>Defaulted</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rPr>
        <w:t>Two values are both.</w:t>
      </w:r>
      <w:r>
        <w:rPr>
          <w:b w:val="0"/>
          <w:i/>
        </w:rPr>
        <w:t>Defaulted</w:t>
      </w:r>
      <w:r>
        <w:rPr>
          <w:b w:val="0"/>
          <w:i w:val="0"/>
        </w:rPr>
        <w:t xml:space="preserve"> and </w:t>
      </w:r>
      <w:r>
        <w:rPr>
          <w:b w:val="0"/>
          <w:i/>
        </w:rPr>
        <w:t>Overridden and approved</w:t>
      </w:r>
      <w:r>
        <w:rPr>
          <w:b w:val="0"/>
          <w:i w:val="0"/>
        </w:rPr>
        <w:t xml:space="preserve"> appear as a </w:t>
      </w:r>
      <w:r>
        <w:rPr>
          <w:b/>
          <w:i w:val="0"/>
        </w:rPr>
        <w:t>status</w:t>
      </w:r>
      <w:r>
        <w:rPr>
          <w:b w:val="0"/>
          <w:i w:val="0"/>
        </w:rPr>
        <w:t xml:space="preserve"> and as a </w:t>
      </w:r>
      <w:r>
        <w:rPr>
          <w:b/>
          <w:i w:val="0"/>
        </w:rPr>
        <w:t>flag</w:t>
      </w:r>
      <w:r>
        <w:rPr>
          <w:b w:val="0"/>
          <w:i w:val="0"/>
        </w:rPr>
        <w:t xml:space="preserve">. The status says what it is now; the flag says it happened at all and survives a later transition — something defaulted and then approved reads </w:t>
      </w:r>
      <w:r>
        <w:rPr>
          <w:rFonts w:ascii="Consolas" w:hAnsi="Consolas"/>
          <w:b w:val="0"/>
          <w:i w:val="0"/>
          <w:sz w:val="18"/>
        </w:rPr>
        <w:t>Approved</w:t>
      </w:r>
      <w:r>
        <w:rPr>
          <w:b w:val="0"/>
          <w:i w:val="0"/>
        </w:rPr>
        <w:t xml:space="preserve"> with the defaulted flag still set. </w:t>
      </w:r>
      <w:r>
        <w:rPr>
          <w:b w:val="0"/>
          <w:i w:val="0"/>
        </w:rPr>
        <w:t>Whether to keep this duplication is an open item.</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row is a Reversal → row is an Adjustment → Advance closure → Overridden &amp; approved → Defaulted → Late submission → none.</w:t>
      </w:r>
    </w:p>
    <w:p>
      <w:pPr>
        <w:pStyle w:val="Heading3"/>
      </w:pPr>
      <w:r>
        <w:t>Where it is stored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status and all six flags for a week,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b w:val="0"/>
                <w:i w:val="0"/>
              </w:rPr>
              <w:t xml:space="preserve">status for a single date, from the same set;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A staging table in our own schema that the accrual module pulls from.</w:t>
            </w:r>
            <w:r>
              <w:rPr>
                <w:b w:val="0"/>
                <w:i w:val="0"/>
              </w:rPr>
              <w:t xml:space="preserve"> It holds three things for a confirmed month: the </w:t>
            </w:r>
            <w:r>
              <w:rPr>
                <w:b/>
                <w:i w:val="0"/>
              </w:rPr>
              <w:t>summary</w:t>
            </w:r>
            <w:r>
              <w:rPr>
                <w:b w:val="0"/>
                <w:i w:val="0"/>
              </w:rPr>
              <w:t xml:space="preserve">, the </w:t>
            </w:r>
            <w:r>
              <w:rPr>
                <w:b/>
                <w:i w:val="0"/>
              </w:rPr>
              <w:t>complete timesheet employee-wise</w:t>
            </w:r>
            <w:r>
              <w:rPr>
                <w:b w:val="0"/>
                <w:i w:val="0"/>
              </w:rPr>
              <w:t xml:space="preserve">, and </w:t>
            </w:r>
            <w:r>
              <w:rPr>
                <w:b/>
                <w:i w:val="0"/>
              </w:rPr>
              <w:t>any adjustments</w:t>
            </w:r>
            <w:r>
              <w:rPr>
                <w:b w:val="0"/>
                <w:i w:val="0"/>
              </w:rPr>
              <w:t>. We write it; accrual reads it. Nothing is pushed into accrual’s tables.</w:t>
            </w:r>
          </w:p>
        </w:tc>
        <w:tc>
          <w:tcPr>
            <w:tcW w:type="dxa" w:w="3264"/>
          </w:tcPr>
          <w:p>
            <w:pPr>
              <w:spacing w:after="40"/>
            </w:pPr>
            <w:r/>
            <w:r>
              <w:rPr>
                <w:b/>
                <w:i w:val="0"/>
              </w:rPr>
              <w:t>Structure pending.</w:t>
            </w:r>
            <w:r>
              <w:rPr>
                <w:b w:val="0"/>
                <w:i w:val="0"/>
              </w:rPr>
              <w:t xml:space="preserve"> The accrual side is defining the shape and that work is in progress, so the columns are not fixed yet. The direct push that previously occupied this column is superseded — see the note below.</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spacing w:before="120" w:after="160"/>
        <w:ind w:left="288"/>
        <w:pBdr>
          <w:left w:val="single" w:sz="18" w:space="8" w:color="D9A53C"/>
        </w:pBdr>
      </w:pPr>
      <w:r>
        <w:rPr>
          <w:b/>
          <w:i w:val="0"/>
          <w:sz w:val="19"/>
        </w:rPr>
        <w:t>This replaces a push with a pull, and most of it already exists.</w:t>
      </w:r>
      <w:r>
        <w:rPr>
          <w:rFonts w:ascii="Consolas" w:hAnsi="Consolas"/>
          <w:b w:val="0"/>
          <w:i w:val="0"/>
          <w:sz w:val="19"/>
        </w:rPr>
        <w:t>PARTNER_STATUS</w:t>
      </w:r>
      <w:r>
        <w:rPr>
          <w:b w:val="0"/>
          <w:i w:val="0"/>
          <w:sz w:val="19"/>
        </w:rPr>
        <w:t xml:space="preserve"> used to track a direct hand-off that wrote into the main O2C application’s accrual tables. That is superseded: accrual will pull from a table in our schema instead. </w:t>
      </w:r>
      <w:r>
        <w:rPr>
          <w:sz w:val="19"/>
        </w:rPr>
        <w:br/>
      </w:r>
      <w:r>
        <w:rPr>
          <w:sz w:val="19"/>
        </w:rPr>
        <w:br/>
      </w:r>
      <w:r>
        <w:rPr>
          <w:b w:val="0"/>
          <w:i w:val="0"/>
          <w:sz w:val="19"/>
        </w:rPr>
        <w:t xml:space="preserve"> Worth knowing before the structure is agreed — the interface behind </w:t>
      </w:r>
      <w:r>
        <w:rPr>
          <w:rFonts w:ascii="Consolas" w:hAnsi="Consolas"/>
          <w:b w:val="0"/>
          <w:i w:val="0"/>
          <w:sz w:val="19"/>
        </w:rPr>
        <w:t>ACCRUAL_STATUS</w:t>
      </w:r>
      <w:r>
        <w:rPr>
          <w:b w:val="0"/>
          <w:i w:val="0"/>
          <w:sz w:val="19"/>
        </w:rPr>
        <w:t xml:space="preserve"> is </w:t>
      </w:r>
      <w:r>
        <w:rPr>
          <w:b/>
          <w:i w:val="0"/>
          <w:sz w:val="19"/>
        </w:rPr>
        <w:t>already</w:t>
      </w:r>
      <w:r>
        <w:rPr>
          <w:b w:val="0"/>
          <w:i w:val="0"/>
          <w:sz w:val="19"/>
        </w:rPr>
        <w:t xml:space="preserve"> a pull, already day-wise and never rolled up, already carries the </w:t>
      </w:r>
      <w:r>
        <w:rPr>
          <w:b w:val="0"/>
          <w:i/>
          <w:sz w:val="19"/>
        </w:rPr>
        <w:t>Reversal</w:t>
      </w:r>
      <w:r>
        <w:rPr>
          <w:b w:val="0"/>
          <w:i w:val="0"/>
          <w:sz w:val="19"/>
        </w:rPr>
        <w:t xml:space="preserve"> and </w:t>
      </w:r>
      <w:r>
        <w:rPr>
          <w:b w:val="0"/>
          <w:i/>
          <w:sz w:val="19"/>
        </w:rPr>
        <w:t>Adjustment</w:t>
      </w:r>
      <w:r>
        <w:rPr>
          <w:b w:val="0"/>
          <w:i w:val="0"/>
          <w:sz w:val="19"/>
        </w:rPr>
        <w:t xml:space="preserve"> rows with a link back to the adjustment they came from, and already has the claim-a-batch-once bookkeeping a puller needs. So of the three things required, the </w:t>
      </w:r>
      <w:r>
        <w:rPr>
          <w:b/>
          <w:i w:val="0"/>
          <w:sz w:val="19"/>
        </w:rPr>
        <w:t>complete timesheet</w:t>
      </w:r>
      <w:r>
        <w:rPr>
          <w:b w:val="0"/>
          <w:i w:val="0"/>
          <w:sz w:val="19"/>
        </w:rPr>
        <w:t xml:space="preserve"> and the </w:t>
      </w:r>
      <w:r>
        <w:rPr>
          <w:b/>
          <w:i w:val="0"/>
          <w:sz w:val="19"/>
        </w:rPr>
        <w:t>adjustments</w:t>
      </w:r>
      <w:r>
        <w:rPr>
          <w:b w:val="0"/>
          <w:i w:val="0"/>
          <w:sz w:val="19"/>
        </w:rPr>
        <w:t xml:space="preserve"> are in place in some form. The genuine gap is the </w:t>
      </w:r>
      <w:r>
        <w:rPr>
          <w:b/>
          <w:i w:val="0"/>
          <w:sz w:val="19"/>
        </w:rPr>
        <w:t>summary grain</w:t>
      </w:r>
      <w:r>
        <w:rPr>
          <w:b w:val="0"/>
          <w:i w:val="0"/>
          <w:sz w:val="19"/>
        </w:rPr>
        <w:t xml:space="preserve"> — that table holds day rows only. </w:t>
      </w:r>
      <w:r>
        <w:rPr>
          <w:sz w:val="19"/>
        </w:rPr>
        <w:br/>
      </w:r>
      <w:r>
        <w:rPr>
          <w:sz w:val="19"/>
        </w:rPr>
        <w:br/>
      </w:r>
      <w:r>
        <w:rPr>
          <w:b w:val="0"/>
          <w:i w:val="0"/>
          <w:sz w:val="19"/>
        </w:rPr>
        <w:t xml:space="preserve"> Which raises the question to settle </w:t>
      </w:r>
      <w:r>
        <w:rPr>
          <w:b w:val="0"/>
          <w:i/>
          <w:sz w:val="19"/>
        </w:rPr>
        <w:t>before</w:t>
      </w:r>
      <w:r>
        <w:rPr>
          <w:b w:val="0"/>
          <w:i w:val="0"/>
          <w:sz w:val="19"/>
        </w:rPr>
        <w:t xml:space="preserve"> the accrual side finalises anything: </w:t>
      </w:r>
      <w:r>
        <w:rPr>
          <w:b/>
          <w:i w:val="0"/>
          <w:sz w:val="19"/>
        </w:rPr>
        <w:t>is this one interface or two?</w:t>
      </w:r>
      <w:r>
        <w:rPr>
          <w:b w:val="0"/>
          <w:i w:val="0"/>
          <w:sz w:val="19"/>
        </w:rPr>
        <w:t xml:space="preserve"> If accrual pulls everything from one place, then </w:t>
      </w:r>
      <w:r>
        <w:rPr>
          <w:rFonts w:ascii="Consolas" w:hAnsi="Consolas"/>
          <w:b w:val="0"/>
          <w:i w:val="0"/>
          <w:sz w:val="19"/>
        </w:rPr>
        <w:t>ACCRUAL_STATUS</w:t>
      </w:r>
      <w:r>
        <w:rPr>
          <w:b w:val="0"/>
          <w:i w:val="0"/>
          <w:sz w:val="19"/>
        </w:rPr>
        <w:t xml:space="preserve"> and </w:t>
      </w:r>
      <w:r>
        <w:rPr>
          <w:rFonts w:ascii="Consolas" w:hAnsi="Consolas"/>
          <w:b w:val="0"/>
          <w:i w:val="0"/>
          <w:sz w:val="19"/>
        </w:rPr>
        <w:t>PARTNER_STATUS</w:t>
      </w:r>
      <w:r>
        <w:rPr>
          <w:b w:val="0"/>
          <w:i w:val="0"/>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status is Approved, in a month that has been confirmed.</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status set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rPr>
              <w:t xml:space="preserve">Keep </w:t>
            </w:r>
            <w:r>
              <w:rPr>
                <w:b w:val="0"/>
                <w:i/>
              </w:rPr>
              <w:t>Defaulted</w:t>
            </w:r>
            <w:r>
              <w:rPr>
                <w:b w:val="0"/>
                <w:i w:val="0"/>
              </w:rPr>
              <w:t xml:space="preserve"> / </w:t>
            </w:r>
            <w:r>
              <w:rPr>
                <w:b w:val="0"/>
                <w:i/>
              </w:rPr>
              <w:t>Overridden</w:t>
            </w:r>
            <w:r>
              <w:rPr>
                <w:b w:val="0"/>
                <w:i w:val="0"/>
              </w:rPr>
              <w:t xml:space="preserve"> as both status and flag,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r>
        <w:tc>
          <w:tcPr>
            <w:tcW w:type="dxa" w:w="3264"/>
          </w:tcPr>
          <w:p>
            <w:pPr>
              <w:spacing w:after="40"/>
            </w:pPr>
            <w:r/>
            <w:r>
              <w:rPr>
                <w:b w:val="0"/>
                <w:i w:val="0"/>
              </w:rPr>
              <w:t>17</w:t>
            </w:r>
          </w:p>
        </w:tc>
        <w:tc>
          <w:tcPr>
            <w:tcW w:type="dxa" w:w="3264"/>
          </w:tcPr>
          <w:p>
            <w:pPr>
              <w:spacing w:after="40"/>
            </w:pPr>
            <w:r/>
            <w:r>
              <w:rPr>
                <w:b/>
                <w:i w:val="0"/>
              </w:rPr>
              <w:t xml:space="preserve">Where </w:t>
            </w:r>
            <w:r>
              <w:rPr>
                <w:rFonts w:ascii="Consolas" w:hAnsi="Consolas"/>
                <w:b/>
                <w:i w:val="0"/>
                <w:sz w:val="18"/>
              </w:rPr>
              <w:t>REVENUE_MODEL</w:t>
            </w:r>
            <w:r>
              <w:rPr>
                <w:b/>
                <w:i w:val="0"/>
              </w:rPr>
              <w:t xml:space="preserve"> and </w:t>
            </w:r>
            <w:r>
              <w:rPr>
                <w:rFonts w:ascii="Consolas" w:hAnsi="Consolas"/>
                <w:b/>
                <w:i w:val="0"/>
                <w:sz w:val="18"/>
              </w:rPr>
              <w:t>LEAVE_LOSS_FLAG</w:t>
            </w:r>
            <w:r>
              <w:rPr>
                <w:b/>
                <w:i w:val="0"/>
              </w:rPr>
              <w:t xml:space="preserve"> come from</w:t>
            </w:r>
            <w:r>
              <w:rPr>
                <w:b w:val="0"/>
                <w:i w:val="0"/>
              </w:rPr>
              <w:t xml:space="preserve"> — neither is read from Fusion and both are null today, so leave-loss cannot fire for any project (§6.1)</w:t>
            </w:r>
          </w:p>
        </w:tc>
        <w:tc>
          <w:tcPr>
            <w:tcW w:type="dxa" w:w="3264"/>
          </w:tcPr>
          <w:p>
            <w:pPr>
              <w:spacing w:after="40"/>
            </w:pPr>
            <w:r/>
            <w:r>
              <w:rPr>
                <w:b w:val="0"/>
                <w:i w:val="0"/>
              </w:rPr>
              <w:t>functional decision</w:t>
            </w:r>
          </w:p>
        </w:tc>
      </w:tr>
      <w:tr>
        <w:tc>
          <w:tcPr>
            <w:tcW w:type="dxa" w:w="3264"/>
          </w:tcPr>
          <w:p>
            <w:pPr>
              <w:spacing w:after="40"/>
            </w:pPr>
            <w:r/>
            <w:r>
              <w:rPr>
                <w:b w:val="0"/>
                <w:i w:val="0"/>
              </w:rPr>
              <w:t>18</w:t>
            </w:r>
          </w:p>
        </w:tc>
        <w:tc>
          <w:tcPr>
            <w:tcW w:type="dxa" w:w="3264"/>
          </w:tcPr>
          <w:p>
            <w:pPr>
              <w:spacing w:after="40"/>
            </w:pPr>
            <w:r/>
            <w:r>
              <w:rPr>
                <w:b w:val="0"/>
                <w:i w:val="0"/>
              </w:rPr>
              <w:t xml:space="preserve">Test data prepared for </w:t>
            </w:r>
            <w:r>
              <w:rPr>
                <w:b/>
                <w:i w:val="0"/>
              </w:rPr>
              <w:t>each revenue model</w:t>
            </w:r>
            <w:r>
              <w:rPr>
                <w:b w:val="0"/>
                <w:i w:val="0"/>
              </w:rPr>
              <w:t xml:space="preserve"> — T&amp;M, FCP with and without leave loss, Milestone (§6) </w:t>
            </w:r>
            <w:r>
              <w:rPr>
                <w:b w:val="0"/>
                <w:i/>
              </w:rPr>
              <w:t>— agreed, functional team owns this</w:t>
            </w:r>
          </w:p>
        </w:tc>
        <w:tc>
          <w:tcPr>
            <w:tcW w:type="dxa" w:w="3264"/>
          </w:tcPr>
          <w:p>
            <w:pPr>
              <w:spacing w:after="40"/>
            </w:pPr>
            <w:r/>
            <w:r>
              <w:rPr>
                <w:b w:val="0"/>
                <w:i w:val="0"/>
              </w:rPr>
              <w:t xml:space="preserve">functional team — </w:t>
            </w:r>
            <w:r>
              <w:rPr>
                <w:b/>
                <w:i w:val="0"/>
              </w:rPr>
              <w:t>agreed</w:t>
            </w:r>
          </w:p>
        </w:tc>
      </w:tr>
      <w:tr>
        <w:tc>
          <w:tcPr>
            <w:tcW w:type="dxa" w:w="3264"/>
          </w:tcPr>
          <w:p>
            <w:pPr>
              <w:spacing w:after="40"/>
            </w:pPr>
            <w:r/>
            <w:r>
              <w:rPr>
                <w:b w:val="0"/>
                <w:i w:val="0"/>
              </w:rPr>
              <w:t>19</w:t>
            </w:r>
          </w:p>
        </w:tc>
        <w:tc>
          <w:tcPr>
            <w:tcW w:type="dxa" w:w="3264"/>
          </w:tcPr>
          <w:p>
            <w:pPr>
              <w:spacing w:after="40"/>
            </w:pPr>
            <w:r/>
            <w:r>
              <w:rPr>
                <w:b/>
                <w:i w:val="0"/>
              </w:rPr>
              <w:t>Structure of the accrual staging table</w:t>
            </w:r>
            <w:r>
              <w:rPr>
                <w:b w:val="0"/>
                <w:i w:val="0"/>
              </w:rPr>
              <w:t xml:space="preserve"> — summary, complete timesheet employee-wise and adjustments, in our schema for accrual to pull (§3.5, §7.3). Being defined on the accrual side, </w:t>
            </w:r>
            <w:r>
              <w:rPr>
                <w:b w:val="0"/>
                <w:i/>
              </w:rPr>
              <w:t>work in progress</w:t>
            </w:r>
            <w:r>
              <w:rPr>
                <w:b w:val="0"/>
                <w:i w:val="0"/>
              </w:rPr>
              <w:t>.</w:t>
            </w:r>
          </w:p>
        </w:tc>
        <w:tc>
          <w:tcPr>
            <w:tcW w:type="dxa" w:w="3264"/>
          </w:tcPr>
          <w:p>
            <w:pPr>
              <w:spacing w:after="40"/>
            </w:pPr>
            <w:r/>
            <w:r>
              <w:rPr>
                <w:b w:val="0"/>
                <w:i w:val="0"/>
              </w:rPr>
              <w:t>accrual team — then build</w:t>
            </w:r>
          </w:p>
        </w:tc>
      </w:tr>
      <w:tr>
        <w:tc>
          <w:tcPr>
            <w:tcW w:type="dxa" w:w="3264"/>
          </w:tcPr>
          <w:p>
            <w:pPr>
              <w:spacing w:after="40"/>
            </w:pPr>
            <w:r/>
            <w:r>
              <w:rPr>
                <w:b w:val="0"/>
                <w:i w:val="0"/>
              </w:rPr>
              <w:t>20</w:t>
            </w:r>
          </w:p>
        </w:tc>
        <w:tc>
          <w:tcPr>
            <w:tcW w:type="dxa" w:w="3264"/>
          </w:tcPr>
          <w:p>
            <w:pPr>
              <w:spacing w:after="40"/>
            </w:pPr>
            <w:r/>
            <w:r>
              <w:rPr>
                <w:b/>
                <w:i w:val="0"/>
              </w:rPr>
              <w:t>One accrual interface or two?</w:t>
            </w:r>
            <w:r>
              <w:rPr>
                <w:b w:val="0"/>
                <w:i w:val="0"/>
              </w:rPr>
              <w:t xml:space="preserve"> The existing interface is already a day-wise pull carrying adjustments, so </w:t>
            </w:r>
            <w:r>
              <w:rPr>
                <w:rFonts w:ascii="Consolas" w:hAnsi="Consolas"/>
                <w:b w:val="0"/>
                <w:i w:val="0"/>
                <w:sz w:val="18"/>
              </w:rPr>
              <w:t>ACCRUAL_STATUS</w:t>
            </w:r>
            <w:r>
              <w:rPr>
                <w:b w:val="0"/>
                <w:i w:val="0"/>
              </w:rPr>
              <w:t xml:space="preserve"> and </w:t>
            </w:r>
            <w:r>
              <w:rPr>
                <w:rFonts w:ascii="Consolas" w:hAnsi="Consolas"/>
                <w:b w:val="0"/>
                <w:i w:val="0"/>
                <w:sz w:val="18"/>
              </w:rPr>
              <w:t>PARTNER_STATUS</w:t>
            </w:r>
            <w:r>
              <w:rPr>
                <w:b w:val="0"/>
                <w:i w:val="0"/>
              </w:rPr>
              <w:t xml:space="preserve"> may be tracking the same hand-off. Decide before the structure is fixed (§3.5).</w:t>
            </w:r>
          </w:p>
        </w:tc>
        <w:tc>
          <w:tcPr>
            <w:tcW w:type="dxa" w:w="3264"/>
          </w:tcPr>
          <w:p>
            <w:pPr>
              <w:spacing w:after="40"/>
            </w:pPr>
            <w:r/>
            <w:r>
              <w:rPr>
                <w:b w:val="0"/>
                <w:i w:val="0"/>
              </w:rPr>
              <w:t>functional + accrual team</w:t>
            </w:r>
          </w:p>
        </w:tc>
      </w:tr>
      <w:tr>
        <w:tc>
          <w:tcPr>
            <w:tcW w:type="dxa" w:w="3264"/>
          </w:tcPr>
          <w:p>
            <w:pPr>
              <w:spacing w:after="40"/>
            </w:pPr>
            <w:r/>
            <w:r>
              <w:rPr>
                <w:b w:val="0"/>
                <w:i w:val="0"/>
              </w:rPr>
              <w:t>21</w:t>
            </w:r>
          </w:p>
        </w:tc>
        <w:tc>
          <w:tcPr>
            <w:tcW w:type="dxa" w:w="3264"/>
          </w:tcPr>
          <w:p>
            <w:pPr>
              <w:spacing w:after="40"/>
            </w:pPr>
            <w:r/>
            <w:r>
              <w:rPr>
                <w:b/>
                <w:i w:val="0"/>
              </w:rPr>
              <w:t>Make the schema match the single status set</w:t>
            </w:r>
            <w:r>
              <w:rPr>
                <w:b w:val="0"/>
                <w:i w:val="0"/>
              </w:rPr>
              <w:t xml:space="preserve"> — the week, day, month and retro-adjustment statuses are separate columns with different permitted values today (§3.2)</w:t>
            </w:r>
          </w:p>
        </w:tc>
        <w:tc>
          <w:tcPr>
            <w:tcW w:type="dxa" w:w="3264"/>
          </w:tcPr>
          <w:p>
            <w:pPr>
              <w:spacing w:after="40"/>
            </w:pPr>
            <w:r/>
            <w:r>
              <w:rPr>
                <w:b w:val="0"/>
                <w:i w:val="0"/>
              </w:rPr>
              <w:t>build</w:t>
            </w:r>
          </w:p>
        </w:tc>
      </w:tr>
    </w:tbl>
    <w:p/>
    <w:p>
      <w:pPr>
        <w:pStyle w:val="Heading1"/>
      </w:pPr>
      <w:r>
        <w:t>Test data preparation, by revenue model</w:t>
      </w:r>
    </w:p>
    <w:p>
      <w:r>
        <w:rPr>
          <w:b/>
          <w:i w:val="0"/>
          <w:color w:val="55657A"/>
        </w:rPr>
        <w:t>Agreed: the functional team will prepare the data.</w:t>
      </w:r>
      <w:r>
        <w:rPr>
          <w:b w:val="0"/>
          <w:i w:val="0"/>
          <w:color w:val="55657A"/>
        </w:rPr>
        <w:t xml:space="preserve"> Every scenario has to be exercised against each revenue model, because the rules that fire are different for each — and today only one model has data behind it at all.</w:t>
      </w:r>
    </w:p>
    <w:p>
      <w:pPr>
        <w:pStyle w:val="Heading2"/>
      </w:pPr>
      <w:r>
        <w:t>6.1 The three revenue models, and what each has to exercise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Revenue model</w:t>
            </w:r>
          </w:p>
        </w:tc>
        <w:tc>
          <w:tcPr>
            <w:tcW w:type="dxa" w:w="3264"/>
            <w:shd w:val="clear" w:fill="F1F3F6"/>
          </w:tcPr>
          <w:p>
            <w:pPr>
              <w:spacing w:after="40"/>
            </w:pPr>
            <w:r/>
            <w:r>
              <w:rPr>
                <w:b/>
                <w:i w:val="0"/>
              </w:rPr>
              <w:t>What is different about it</w:t>
            </w:r>
          </w:p>
        </w:tc>
        <w:tc>
          <w:tcPr>
            <w:tcW w:type="dxa" w:w="3264"/>
            <w:shd w:val="clear" w:fill="F1F3F6"/>
          </w:tcPr>
          <w:p>
            <w:pPr>
              <w:spacing w:after="40"/>
            </w:pPr>
            <w:r/>
            <w:r>
              <w:rPr>
                <w:b/>
                <w:i w:val="0"/>
              </w:rPr>
              <w:t>Data needed to exercise it</w:t>
            </w:r>
          </w:p>
        </w:tc>
      </w:tr>
      <w:tr>
        <w:tc>
          <w:tcPr>
            <w:tcW w:type="dxa" w:w="3264"/>
          </w:tcPr>
          <w:p>
            <w:pPr>
              <w:spacing w:after="40"/>
            </w:pPr>
            <w:r/>
            <w:r>
              <w:rPr>
                <w:b/>
                <w:i w:val="0"/>
              </w:rPr>
              <w:t>T&amp;M</w:t>
            </w:r>
            <w:r>
              <w:br/>
            </w:r>
            <w:r>
              <w:rPr>
                <w:b w:val="0"/>
                <w:i w:val="0"/>
              </w:rPr>
              <w:t>Time &amp; Material</w:t>
            </w:r>
          </w:p>
        </w:tc>
        <w:tc>
          <w:tcPr>
            <w:tcW w:type="dxa" w:w="3264"/>
          </w:tcPr>
          <w:p>
            <w:pPr>
              <w:spacing w:after="40"/>
            </w:pPr>
            <w:r/>
            <w:r>
              <w:rPr>
                <w:b w:val="0"/>
                <w:i w:val="0"/>
              </w:rPr>
              <w:t>Hours are the billable unit. The straightforward path: capture, approve, cost. Leave-loss does not apply.</w:t>
            </w:r>
          </w:p>
        </w:tc>
        <w:tc>
          <w:tcPr>
            <w:tcW w:type="dxa" w:w="3264"/>
          </w:tcPr>
          <w:p>
            <w:pPr>
              <w:spacing w:after="40"/>
            </w:pPr>
            <w:r/>
            <w:r>
              <w:rPr>
                <w:b w:val="0"/>
                <w:i w:val="0"/>
              </w:rPr>
              <w:t>A project with a manager, at least two chargeable WBS tasks, and resources allocated at 100% and at a part percentage. Absence inside the month, to prove leave shows without triggering leave-loss.</w:t>
            </w:r>
          </w:p>
        </w:tc>
      </w:tr>
      <w:tr>
        <w:tc>
          <w:tcPr>
            <w:tcW w:type="dxa" w:w="3264"/>
          </w:tcPr>
          <w:p>
            <w:pPr>
              <w:spacing w:after="40"/>
            </w:pPr>
            <w:r/>
            <w:r>
              <w:rPr>
                <w:b/>
                <w:i w:val="0"/>
              </w:rPr>
              <w:t>FCP</w:t>
            </w:r>
            <w:r>
              <w:br/>
            </w:r>
            <w:r>
              <w:rPr>
                <w:b w:val="0"/>
                <w:i w:val="0"/>
              </w:rPr>
              <w:t>Fixed Capacity</w:t>
            </w:r>
          </w:p>
        </w:tc>
        <w:tc>
          <w:tcPr>
            <w:tcW w:type="dxa" w:w="3264"/>
          </w:tcPr>
          <w:p>
            <w:pPr>
              <w:spacing w:after="40"/>
            </w:pPr>
            <w:r/>
            <w:r>
              <w:rPr>
                <w:b/>
                <w:i w:val="0"/>
              </w:rPr>
              <w:t>The only model where leave-loss applies.</w:t>
            </w:r>
            <w:r>
              <w:rPr>
                <w:b w:val="0"/>
                <w:i w:val="0"/>
              </w:rPr>
              <w:t xml:space="preserve"> Absence on a billable allocation is a loss of committed capacity, so PROC-006 / RULE-014 fire — and both gate on revenue model </w:t>
            </w:r>
            <w:r>
              <w:rPr>
                <w:b w:val="0"/>
                <w:i/>
              </w:rPr>
              <w:t>and</w:t>
            </w:r>
            <w:r>
              <w:rPr>
                <w:b w:val="0"/>
                <w:i w:val="0"/>
              </w:rPr>
              <w:t xml:space="preserve"> the leave-loss flag together. This is the richest case and the one most likely to be missed.</w:t>
            </w:r>
          </w:p>
        </w:tc>
        <w:tc>
          <w:tcPr>
            <w:tcW w:type="dxa" w:w="3264"/>
          </w:tcPr>
          <w:p>
            <w:pPr>
              <w:spacing w:after="40"/>
            </w:pPr>
            <w:r/>
            <w:r>
              <w:rPr>
                <w:b w:val="0"/>
                <w:i w:val="0"/>
              </w:rPr>
              <w:t xml:space="preserve">A project with </w:t>
            </w:r>
            <w:r>
              <w:rPr>
                <w:rFonts w:ascii="Consolas" w:hAnsi="Consolas"/>
                <w:b w:val="0"/>
                <w:i w:val="0"/>
                <w:sz w:val="18"/>
              </w:rPr>
              <w:t>revenue model = FCP</w:t>
            </w:r>
            <w:r>
              <w:rPr>
                <w:b/>
                <w:i w:val="0"/>
              </w:rPr>
              <w:t>and</w:t>
            </w:r>
            <w:r>
              <w:rPr>
                <w:rFonts w:ascii="Consolas" w:hAnsi="Consolas"/>
                <w:b w:val="0"/>
                <w:i w:val="0"/>
                <w:sz w:val="18"/>
              </w:rPr>
              <w:t>leave loss = Yes</w:t>
            </w:r>
            <w:r>
              <w:rPr>
                <w:b w:val="0"/>
                <w:i w:val="0"/>
              </w:rPr>
              <w:t>; an allocated resource with an approved absence on a working day; and a second eligible resource available on the same dates, so cover assignment can be exercised. Also a project with FCP but leave loss = No, to prove the rule declines it.</w:t>
            </w:r>
          </w:p>
        </w:tc>
      </w:tr>
      <w:tr>
        <w:tc>
          <w:tcPr>
            <w:tcW w:type="dxa" w:w="3264"/>
          </w:tcPr>
          <w:p>
            <w:pPr>
              <w:spacing w:after="40"/>
            </w:pPr>
            <w:r/>
            <w:r>
              <w:rPr>
                <w:b/>
                <w:i w:val="0"/>
              </w:rPr>
              <w:t>Milestone</w:t>
            </w:r>
          </w:p>
        </w:tc>
        <w:tc>
          <w:tcPr>
            <w:tcW w:type="dxa" w:w="3264"/>
          </w:tcPr>
          <w:p>
            <w:pPr>
              <w:spacing w:after="40"/>
            </w:pPr>
            <w:r/>
            <w:r>
              <w:rPr>
                <w:b w:val="0"/>
                <w:i w:val="0"/>
              </w:rPr>
              <w:t>Revenue is not driven by hours. Time is still captured, approved and costed, but nothing about the revenue position follows from the hours.</w:t>
            </w:r>
          </w:p>
        </w:tc>
        <w:tc>
          <w:tcPr>
            <w:tcW w:type="dxa" w:w="3264"/>
          </w:tcPr>
          <w:p>
            <w:pPr>
              <w:spacing w:after="40"/>
            </w:pPr>
            <w:r/>
            <w:r>
              <w:rPr>
                <w:b w:val="0"/>
                <w:i w:val="0"/>
              </w:rPr>
              <w:t>A project with a manager and chargeable tasks, and an allocated resource. Confirms that capture and the cost post behave identically while no revenue rule engages.</w:t>
            </w:r>
          </w:p>
        </w:tc>
      </w:tr>
    </w:tbl>
    <w:p/>
    <w:p>
      <w:r>
        <w:rPr>
          <w:b w:val="0"/>
          <w:i w:val="0"/>
          <w:color w:val="55657A"/>
        </w:rPr>
        <w:t xml:space="preserve">The distinction matters because the leave-loss refusal is explicit: coverage applies </w:t>
      </w:r>
      <w:r>
        <w:rPr>
          <w:b w:val="0"/>
          <w:i/>
          <w:color w:val="55657A"/>
        </w:rPr>
        <w:t>only</w:t>
      </w:r>
      <w:r>
        <w:rPr>
          <w:b w:val="0"/>
          <w:i w:val="0"/>
          <w:color w:val="55657A"/>
        </w:rPr>
        <w:t xml:space="preserve"> to FCP projects with leave loss set to Yes. Test data that is all T&amp;M will never reach that rule, and test data that is all FCP will never prove the rule declines the others.</w:t>
      </w:r>
    </w:p>
    <w:p>
      <w:pPr>
        <w:spacing w:before="120" w:after="160"/>
        <w:ind w:left="288"/>
        <w:pBdr>
          <w:left w:val="single" w:sz="18" w:space="8" w:color="D9A53C"/>
        </w:pBdr>
      </w:pPr>
      <w:r>
        <w:rPr>
          <w:b/>
          <w:i w:val="0"/>
          <w:sz w:val="19"/>
        </w:rPr>
        <w:t>Blocker to resolve first — the revenue model has no source.</w:t>
      </w:r>
      <w:r>
        <w:rPr>
          <w:rFonts w:ascii="Consolas" w:hAnsi="Consolas"/>
          <w:b w:val="0"/>
          <w:i w:val="0"/>
          <w:sz w:val="19"/>
        </w:rPr>
        <w:t>REVENUE_MODEL</w:t>
      </w:r>
      <w:r>
        <w:rPr>
          <w:b w:val="0"/>
          <w:i w:val="0"/>
          <w:sz w:val="19"/>
        </w:rPr>
        <w:t xml:space="preserve"> and </w:t>
      </w:r>
      <w:r>
        <w:rPr>
          <w:rFonts w:ascii="Consolas" w:hAnsi="Consolas"/>
          <w:b w:val="0"/>
          <w:i w:val="0"/>
          <w:sz w:val="19"/>
        </w:rPr>
        <w:t>LEAVE_LOSS_FLAG</w:t>
      </w:r>
      <w:r>
        <w:rPr>
          <w:b w:val="0"/>
          <w:i w:val="0"/>
          <w:sz w:val="19"/>
        </w:rPr>
        <w:t xml:space="preserve"> are commercial attributes this module owns. They are </w:t>
      </w:r>
      <w:r>
        <w:rPr>
          <w:b/>
          <w:i w:val="0"/>
          <w:sz w:val="19"/>
        </w:rPr>
        <w:t>not read from Fusion</w:t>
      </w:r>
      <w:r>
        <w:rPr>
          <w:b w:val="0"/>
          <w:i w:val="0"/>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i w:val="0"/>
          <w:sz w:val="19"/>
        </w:rPr>
        <w:t>no source at all</w:t>
      </w:r>
      <w:r>
        <w:rPr>
          <w:b w:val="0"/>
          <w:i w:val="0"/>
          <w:sz w:val="19"/>
        </w:rPr>
        <w:t xml:space="preserve">. </w:t>
      </w:r>
      <w:r>
        <w:rPr>
          <w:sz w:val="19"/>
        </w:rPr>
        <w:br/>
      </w:r>
      <w:r>
        <w:rPr>
          <w:sz w:val="19"/>
        </w:rPr>
        <w:br/>
      </w:r>
      <w:r>
        <w:rPr>
          <w:b w:val="0"/>
          <w:i w:val="0"/>
          <w:sz w:val="19"/>
        </w:rPr>
        <w:t xml:space="preserve"> So data cannot be “prepared for each revenue model” until we decide where the value lives. Two options: </w:t>
      </w:r>
      <w:r>
        <w:rPr>
          <w:sz w:val="19"/>
        </w:rPr>
        <w:br/>
      </w:r>
      <w:r>
        <w:rPr>
          <w:sz w:val="19"/>
        </w:rPr>
        <w:br/>
      </w:r>
      <w:r>
        <w:rPr>
          <w:b/>
          <w:i w:val="0"/>
          <w:sz w:val="19"/>
        </w:rPr>
        <w:t>(a) Map it from a Fusion attribute.</w:t>
      </w:r>
      <w:r>
        <w:rPr>
          <w:b w:val="0"/>
          <w:i w:val="0"/>
          <w:sz w:val="19"/>
        </w:rPr>
        <w:t xml:space="preserve"> The project resource carries user-definable code and text slots (</w:t>
      </w:r>
      <w:r>
        <w:rPr>
          <w:rFonts w:ascii="Consolas" w:hAnsi="Consolas"/>
          <w:b w:val="0"/>
          <w:i w:val="0"/>
          <w:sz w:val="19"/>
        </w:rPr>
        <w:t>ProjectCode01</w:t>
      </w:r>
      <w:r>
        <w:rPr>
          <w:b w:val="0"/>
          <w:i w:val="0"/>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i w:val="0"/>
          <w:sz w:val="19"/>
        </w:rPr>
        <w:t>(b) Keep it local to this module.</w:t>
      </w:r>
      <w:r>
        <w:rPr>
          <w:b w:val="0"/>
          <w:i w:val="0"/>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b w:val="0"/>
          <w:i w:val="0"/>
          <w:sz w:val="19"/>
        </w:rPr>
        <w:t xml:space="preserve"> Until one is chosen, </w:t>
      </w:r>
      <w:r>
        <w:rPr>
          <w:b/>
          <w:i w:val="0"/>
          <w:sz w:val="19"/>
        </w:rPr>
        <w:t>leave-loss cannot fire for any project</w:t>
      </w:r>
      <w:r>
        <w:rPr>
          <w:b w:val="0"/>
          <w:i w:val="0"/>
          <w:sz w:val="19"/>
        </w:rPr>
        <w:t xml:space="preserve">, because the rule requires a value that nothing sets. </w:t>
      </w:r>
    </w:p>
    <w:p>
      <w:pPr>
        <w:pStyle w:val="Heading1"/>
      </w:pPr>
      <w:r>
        <w:t>End-to-end flow</w:t>
      </w:r>
    </w:p>
    <w:p>
      <w:r>
        <w:rPr>
          <w:b w:val="0"/>
          <w:i w:val="0"/>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b w:val="0"/>
          <w:i w:val="0"/>
          <w:color w:val="55657A"/>
          <w:sz w:val="18"/>
        </w:rPr>
        <w:t>doc/Time_Module_Architecture.html</w:t>
      </w:r>
      <w:r>
        <w:rPr>
          <w:b w:val="0"/>
          <w:i w:val="0"/>
          <w:color w:val="55657A"/>
        </w:rPr>
        <w:t>.</w:t>
      </w:r>
    </w:p>
    <w:p>
      <w:pPr>
        <w:pStyle w:val="Heading3"/>
      </w:pPr>
      <w:r>
        <w:t>Flow 1 — inbound: what is read, and what it feeds</w:t>
      </w:r>
    </w:p>
    <w:tbl>
      <w:tblPr>
        <w:tblStyle w:val="TableGrid"/>
        <w:tblW w:type="auto" w:w="0"/>
        <w:jc w:val="center"/>
        <w:tblLook w:firstColumn="1" w:firstRow="1" w:lastColumn="0" w:lastRow="0" w:noHBand="0" w:noVBand="1" w:val="04A0"/>
      </w:tblPr>
      <w:tblGrid>
        <w:gridCol w:w="3264"/>
        <w:gridCol w:w="3264"/>
        <w:gridCol w:w="3264"/>
      </w:tblGrid>
      <w:tr>
        <w:tc>
          <w:tcPr>
            <w:tcW w:type="dxa" w:w="9792"/>
            <w:gridSpan w:val="3"/>
          </w:tcPr>
          <w:p>
            <w:pPr>
              <w:spacing w:after="40"/>
            </w:pPr>
            <w:r/>
            <w:r>
              <w:rPr>
                <w:b/>
                <w:i w:val="0"/>
              </w:rPr>
              <w:t>ORACLE FUSION</w:t>
            </w:r>
            <w:r>
              <w:br/>
            </w:r>
            <w:r>
              <w:rPr>
                <w:b w:val="0"/>
                <w:i w:val="0"/>
              </w:rPr>
              <w:t>read live at the moment the screen needs it — no scheduled sync, no staged copy</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r>
              <w:rPr>
                <w:b w:val="0"/>
                <w:i w:val="0"/>
              </w:rPr>
              <w:t>↓</w:t>
            </w:r>
          </w:p>
        </w:tc>
      </w:tr>
      <w:tr>
        <w:tc>
          <w:tcPr>
            <w:tcW w:type="dxa" w:w="3264"/>
          </w:tcPr>
          <w:p>
            <w:pPr>
              <w:spacing w:after="40"/>
            </w:pPr>
            <w:r/>
            <w:r>
              <w:rPr>
                <w:b w:val="0"/>
                <w:i w:val="0"/>
              </w:rPr>
              <w:t>Projects the person may charge</w:t>
            </w:r>
            <w:r>
              <w:br/>
            </w:r>
            <w:r>
              <w:rPr>
                <w:b w:val="0"/>
                <w:i w:val="0"/>
              </w:rPr>
              <w:t>WBS tasks + chargeable / billable</w:t>
            </w:r>
            <w:r>
              <w:br/>
            </w:r>
            <w:r>
              <w:rPr>
                <w:b w:val="0"/>
                <w:i w:val="0"/>
              </w:rPr>
              <w:t>Expenditure type &amp; organization</w:t>
            </w:r>
          </w:p>
        </w:tc>
        <w:tc>
          <w:tcPr>
            <w:tcW w:type="dxa" w:w="3264"/>
          </w:tcPr>
          <w:p>
            <w:pPr>
              <w:spacing w:after="40"/>
            </w:pPr>
            <w:r/>
            <w:r>
              <w:rPr>
                <w:b w:val="0"/>
                <w:i w:val="0"/>
              </w:rPr>
              <w:t>Allocation % and dates</w:t>
            </w:r>
            <w:r>
              <w:br/>
            </w:r>
            <w:r>
              <w:rPr>
                <w:b w:val="0"/>
                <w:i w:val="0"/>
              </w:rPr>
              <w:t>Work schedule &amp; shift pattern</w:t>
            </w:r>
            <w:r>
              <w:br/>
            </w:r>
            <w:r>
              <w:rPr>
                <w:b w:val="0"/>
                <w:i w:val="0"/>
              </w:rPr>
              <w:t>Calendar by location + events</w:t>
            </w:r>
            <w:r>
              <w:br/>
            </w:r>
            <w:r>
              <w:rPr>
                <w:b w:val="0"/>
                <w:i w:val="0"/>
              </w:rPr>
              <w:t>Rate</w:t>
            </w:r>
          </w:p>
        </w:tc>
        <w:tc>
          <w:tcPr>
            <w:tcW w:type="dxa" w:w="3264"/>
          </w:tcPr>
          <w:p>
            <w:pPr>
              <w:spacing w:after="40"/>
            </w:pPr>
            <w:r/>
            <w:r>
              <w:rPr>
                <w:b w:val="0"/>
                <w:i w:val="0"/>
              </w:rPr>
              <w:t xml:space="preserve">Absence — </w:t>
            </w:r>
            <w:r>
              <w:rPr>
                <w:b/>
                <w:i w:val="0"/>
              </w:rPr>
              <w:t>this person,</w:t>
            </w:r>
            <w:r>
              <w:br/>
            </w:r>
            <w:r>
              <w:rPr>
                <w:b/>
                <w:i w:val="0"/>
              </w:rPr>
              <w:t>these dates</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r>
              <w:rPr>
                <w:b w:val="0"/>
                <w:i w:val="0"/>
              </w:rPr>
              <w:t>↓</w:t>
            </w:r>
          </w:p>
        </w:tc>
      </w:tr>
      <w:tr>
        <w:tc>
          <w:tcPr>
            <w:tcW w:type="dxa" w:w="3264"/>
          </w:tcPr>
          <w:p>
            <w:pPr>
              <w:spacing w:after="40"/>
            </w:pPr>
            <w:r/>
            <w:r>
              <w:rPr>
                <w:b/>
                <w:i w:val="0"/>
              </w:rPr>
              <w:t>Pickers</w:t>
            </w:r>
            <w:r>
              <w:br/>
            </w:r>
            <w:r>
              <w:rPr>
                <w:b w:val="0"/>
                <w:i w:val="0"/>
              </w:rPr>
              <w:t xml:space="preserve">and the </w:t>
            </w:r>
            <w:r>
              <w:rPr>
                <w:b/>
                <w:i w:val="0"/>
              </w:rPr>
              <w:t>POET snapshot</w:t>
            </w:r>
            <w:r>
              <w:br/>
            </w:r>
            <w:r>
              <w:rPr>
                <w:b w:val="0"/>
                <w:i w:val="0"/>
              </w:rPr>
              <w:t>written onto each entry at save</w:t>
            </w:r>
          </w:p>
        </w:tc>
        <w:tc>
          <w:tcPr>
            <w:tcW w:type="dxa" w:w="3264"/>
          </w:tcPr>
          <w:p>
            <w:pPr>
              <w:spacing w:after="40"/>
            </w:pPr>
            <w:r/>
            <w:r>
              <w:rPr>
                <w:b/>
                <w:i w:val="0"/>
              </w:rPr>
              <w:t>Prepopulate the month</w:t>
            </w:r>
            <w:r>
              <w:br/>
            </w:r>
            <w:r>
              <w:rPr>
                <w:b w:val="0"/>
                <w:i w:val="0"/>
              </w:rPr>
              <w:t>std hours/day × allocation %</w:t>
            </w:r>
            <w:r>
              <w:br/>
            </w:r>
            <w:r>
              <w:rPr>
                <w:b w:val="0"/>
                <w:i w:val="0"/>
              </w:rPr>
              <w:t>quarter-rounded · non-working days skipped</w:t>
            </w:r>
            <w:r>
              <w:br/>
            </w:r>
            <w:r>
              <w:rPr>
                <w:b/>
                <w:i w:val="0"/>
              </w:rPr>
              <w:t>one</w:t>
            </w:r>
            <w:r>
              <w:rPr>
                <w:b w:val="0"/>
                <w:i w:val="0"/>
              </w:rPr>
              <w:t xml:space="preserve"> line on the first chargeable task</w:t>
            </w:r>
          </w:p>
        </w:tc>
        <w:tc>
          <w:tcPr>
            <w:tcW w:type="dxa" w:w="3264"/>
          </w:tcPr>
          <w:p>
            <w:pPr>
              <w:spacing w:after="40"/>
            </w:pPr>
            <w:r/>
            <w:r>
              <w:rPr>
                <w:b/>
                <w:i w:val="0"/>
              </w:rPr>
              <w:t>Leave rows</w:t>
            </w:r>
            <w:r>
              <w:br/>
            </w:r>
            <w:r>
              <w:rPr>
                <w:b w:val="0"/>
                <w:i w:val="0"/>
              </w:rPr>
              <w:t>own duration · IS_LEAVE = Y</w:t>
            </w:r>
            <w:r>
              <w:br/>
            </w:r>
            <w:r>
              <w:rPr>
                <w:b w:val="0"/>
                <w:i w:val="0"/>
              </w:rPr>
              <w:t>read-only</w:t>
            </w:r>
          </w:p>
        </w:tc>
      </w:tr>
      <w:tr>
        <w:tc>
          <w:tcPr>
            <w:tcW w:type="dxa" w:w="9792"/>
            <w:gridSpan w:val="3"/>
          </w:tcPr>
          <w:p>
            <w:pPr>
              <w:spacing w:after="40"/>
            </w:pPr>
            <w:r/>
            <w:r>
              <w:rPr>
                <w:b w:val="0"/>
                <w:i w:val="0"/>
              </w:rPr>
              <w:t>↓</w:t>
            </w:r>
          </w:p>
        </w:tc>
      </w:tr>
      <w:tr>
        <w:tc>
          <w:tcPr>
            <w:tcW w:type="dxa" w:w="9792"/>
            <w:gridSpan w:val="3"/>
          </w:tcPr>
          <w:p>
            <w:pPr>
              <w:spacing w:after="40"/>
            </w:pPr>
            <w:r/>
            <w:r>
              <w:rPr>
                <w:b w:val="0"/>
                <w:i w:val="0"/>
              </w:rPr>
              <w:t xml:space="preserve">The week exists, at </w:t>
            </w:r>
            <w:r>
              <w:rPr>
                <w:b/>
                <w:i w:val="0"/>
              </w:rPr>
              <w:t>Not yet submitted</w:t>
            </w:r>
          </w:p>
        </w:tc>
      </w:tr>
    </w:tbl>
    <w:p/>
    <w:p>
      <w:pPr>
        <w:pStyle w:val="Heading3"/>
      </w:pPr>
      <w:r>
        <w:t>Lifecycle — status and the flags each event raises</w:t>
      </w:r>
    </w:p>
    <w:p>
      <w:r>
        <w:rPr>
          <w:b w:val="0"/>
          <w:i w:val="0"/>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tcPr>
          <w:p>
            <w:pPr>
              <w:spacing w:after="40"/>
            </w:pPr>
            <w:r/>
            <w:r>
              <w:rPr>
                <w:b w:val="0"/>
                <w:i w:val="0"/>
              </w:rPr>
              <w:t>Not yet</w:t>
            </w:r>
            <w:r>
              <w:br/>
            </w:r>
            <w:r>
              <w:rPr>
                <w:b w:val="0"/>
                <w:i w:val="0"/>
              </w:rPr>
              <w:t>submitted</w:t>
            </w:r>
          </w:p>
        </w:tc>
        <w:tc>
          <w:tcPr>
            <w:tcW w:type="dxa" w:w="1399"/>
          </w:tcPr>
          <w:p>
            <w:pPr>
              <w:spacing w:after="40"/>
            </w:pPr>
            <w:r/>
            <w:r>
              <w:rPr>
                <w:b w:val="0"/>
                <w:i w:val="0"/>
              </w:rPr>
              <w:t>→</w:t>
            </w:r>
          </w:p>
        </w:tc>
        <w:tc>
          <w:tcPr>
            <w:tcW w:type="dxa" w:w="1399"/>
          </w:tcPr>
          <w:p>
            <w:pPr>
              <w:spacing w:after="40"/>
            </w:pPr>
            <w:r/>
            <w:r>
              <w:rPr>
                <w:b w:val="0"/>
                <w:i w:val="0"/>
              </w:rPr>
              <w:t>Submitted</w:t>
            </w:r>
          </w:p>
        </w:tc>
        <w:tc>
          <w:tcPr>
            <w:tcW w:type="dxa" w:w="1399"/>
          </w:tcPr>
          <w:p>
            <w:pPr>
              <w:spacing w:after="40"/>
            </w:pPr>
            <w:r/>
            <w:r>
              <w:rPr>
                <w:b w:val="0"/>
                <w:i w:val="0"/>
              </w:rPr>
              <w:t>→</w:t>
            </w:r>
          </w:p>
        </w:tc>
        <w:tc>
          <w:tcPr>
            <w:tcW w:type="dxa" w:w="1399"/>
          </w:tcPr>
          <w:p>
            <w:pPr>
              <w:spacing w:after="40"/>
            </w:pPr>
            <w:r/>
            <w:r>
              <w:rPr>
                <w:b w:val="0"/>
                <w:i w:val="0"/>
              </w:rPr>
              <w:t>Approved</w:t>
            </w:r>
          </w:p>
        </w:tc>
        <w:tc>
          <w:tcPr>
            <w:tcW w:type="dxa" w:w="1399"/>
          </w:tcPr>
          <w:p>
            <w:pPr>
              <w:spacing w:after="40"/>
            </w:pPr>
            <w:r/>
            <w:r>
              <w:rPr>
                <w:b w:val="0"/>
                <w:i w:val="0"/>
              </w:rPr>
              <w:t>→</w:t>
            </w:r>
          </w:p>
        </w:tc>
        <w:tc>
          <w:tcPr>
            <w:tcW w:type="dxa" w:w="1399"/>
          </w:tcPr>
          <w:p>
            <w:pPr>
              <w:spacing w:after="40"/>
            </w:pPr>
            <w:r/>
            <w:r>
              <w:rPr>
                <w:b w:val="0"/>
                <w:i w:val="0"/>
              </w:rPr>
              <w:t>Confirmed</w:t>
            </w:r>
            <w:r>
              <w:br/>
            </w:r>
            <w:r>
              <w:rPr>
                <w:b w:val="0"/>
                <w:i w:val="0"/>
              </w:rPr>
              <w:t>an event, not a status</w:t>
            </w:r>
          </w:p>
        </w:tc>
      </w:tr>
      <w:tr>
        <w:tc>
          <w:tcPr>
            <w:tcW w:type="dxa" w:w="1399"/>
          </w:tcPr>
          <w:p>
            <w:pPr>
              <w:spacing w:after="40"/>
            </w:pPr>
            <w:r/>
            <w:r>
              <w:rPr>
                <w:b w:val="0"/>
                <w:i w:val="0"/>
              </w:rPr>
              <w:t>submit</w:t>
            </w:r>
          </w:p>
        </w:tc>
        <w:tc>
          <w:tcPr>
            <w:tcW w:type="dxa" w:w="1399"/>
          </w:tcPr>
          <w:p>
            <w:pPr>
              <w:spacing w:after="40"/>
            </w:pPr>
            <w:r/>
          </w:p>
        </w:tc>
        <w:tc>
          <w:tcPr>
            <w:tcW w:type="dxa" w:w="1399"/>
          </w:tcPr>
          <w:p>
            <w:pPr>
              <w:spacing w:after="40"/>
            </w:pPr>
            <w:r/>
            <w:r>
              <w:rPr>
                <w:b w:val="0"/>
                <w:i w:val="0"/>
              </w:rPr>
              <w:t>approve</w:t>
            </w:r>
          </w:p>
        </w:tc>
        <w:tc>
          <w:tcPr>
            <w:tcW w:type="dxa" w:w="1399"/>
          </w:tcPr>
          <w:p>
            <w:pPr>
              <w:spacing w:after="40"/>
            </w:pPr>
            <w:r/>
          </w:p>
        </w:tc>
        <w:tc>
          <w:tcPr>
            <w:tcW w:type="dxa" w:w="1399"/>
          </w:tcPr>
          <w:p>
            <w:pPr>
              <w:spacing w:after="40"/>
            </w:pPr>
            <w:r/>
            <w:r>
              <w:rPr>
                <w:b w:val="0"/>
                <w:i w:val="0"/>
              </w:rPr>
              <w:t>all approved</w:t>
            </w:r>
          </w:p>
        </w:tc>
        <w:tc>
          <w:tcPr>
            <w:tcW w:type="dxa" w:w="1399"/>
          </w:tcPr>
          <w:p>
            <w:pPr>
              <w:spacing w:after="40"/>
            </w:pPr>
            <w:r/>
          </w:p>
        </w:tc>
        <w:tc>
          <w:tcPr>
            <w:tcW w:type="dxa" w:w="1399"/>
          </w:tcPr>
          <w:p>
            <w:pPr>
              <w:spacing w:after="40"/>
            </w:pPr>
            <w:r/>
          </w:p>
        </w:tc>
      </w:tr>
      <w:tr>
        <w:tc>
          <w:tcPr>
            <w:tcW w:type="dxa" w:w="1399"/>
          </w:tcPr>
          <w:p>
            <w:pPr>
              <w:spacing w:after="40"/>
            </w:pPr>
            <w:r/>
            <w:r>
              <w:rPr>
                <w:b w:val="0"/>
                <w:i w:val="0"/>
              </w:rPr>
              <w:t>↓</w:t>
            </w:r>
          </w:p>
        </w:tc>
        <w:tc>
          <w:tcPr>
            <w:tcW w:type="dxa" w:w="1399"/>
          </w:tcPr>
          <w:p>
            <w:pPr>
              <w:spacing w:after="40"/>
            </w:pPr>
            <w:r/>
          </w:p>
        </w:tc>
        <w:tc>
          <w:tcPr>
            <w:tcW w:type="dxa" w:w="1399"/>
          </w:tcPr>
          <w:p>
            <w:pPr>
              <w:spacing w:after="40"/>
            </w:pPr>
            <w:r/>
            <w:r>
              <w:rPr>
                <w:b w:val="0"/>
                <w:i w:val="0"/>
              </w:rPr>
              <w:t>↓</w:t>
            </w:r>
          </w:p>
        </w:tc>
        <w:tc>
          <w:tcPr>
            <w:tcW w:type="dxa" w:w="1399"/>
          </w:tcPr>
          <w:p>
            <w:pPr>
              <w:spacing w:after="40"/>
            </w:pPr>
            <w:r/>
          </w:p>
        </w:tc>
        <w:tc>
          <w:tcPr>
            <w:tcW w:type="dxa" w:w="1399"/>
          </w:tcPr>
          <w:p>
            <w:pPr>
              <w:spacing w:after="40"/>
            </w:pPr>
            <w:r/>
            <w:r>
              <w:rPr>
                <w:b w:val="0"/>
                <w:i w:val="0"/>
              </w:rPr>
              <w:t>↓</w:t>
            </w:r>
          </w:p>
        </w:tc>
        <w:tc>
          <w:tcPr>
            <w:tcW w:type="dxa" w:w="1399"/>
          </w:tcPr>
          <w:p>
            <w:pPr>
              <w:spacing w:after="40"/>
            </w:pPr>
            <w:r/>
          </w:p>
        </w:tc>
        <w:tc>
          <w:tcPr>
            <w:tcW w:type="dxa" w:w="1399"/>
          </w:tcPr>
          <w:p>
            <w:pPr>
              <w:spacing w:after="40"/>
            </w:pPr>
            <w:r/>
          </w:p>
        </w:tc>
      </w:tr>
      <w:tr>
        <w:tc>
          <w:tcPr>
            <w:tcW w:type="dxa" w:w="1399"/>
          </w:tcPr>
          <w:p>
            <w:pPr>
              <w:spacing w:after="40"/>
            </w:pPr>
            <w:r/>
            <w:r>
              <w:rPr>
                <w:b w:val="0"/>
                <w:i w:val="0"/>
              </w:rPr>
              <w:t>Defaulted</w:t>
            </w:r>
            <w:r>
              <w:br/>
            </w:r>
            <w:r>
              <w:rPr>
                <w:b w:val="0"/>
                <w:i w:val="0"/>
              </w:rPr>
              <w:t>cut-off filled it in</w:t>
            </w:r>
            <w:r>
              <w:br/>
            </w:r>
            <w:r>
              <w:rPr>
                <w:b/>
                <w:i w:val="0"/>
              </w:rPr>
              <w:t>+ Defaulted</w:t>
            </w:r>
          </w:p>
        </w:tc>
        <w:tc>
          <w:tcPr>
            <w:tcW w:type="dxa" w:w="1399"/>
          </w:tcPr>
          <w:p>
            <w:pPr>
              <w:spacing w:after="40"/>
            </w:pPr>
            <w:r/>
          </w:p>
        </w:tc>
        <w:tc>
          <w:tcPr>
            <w:tcW w:type="dxa" w:w="1399"/>
          </w:tcPr>
          <w:p>
            <w:pPr>
              <w:spacing w:after="40"/>
            </w:pPr>
            <w:r/>
            <w:r>
              <w:rPr>
                <w:b w:val="0"/>
                <w:i w:val="0"/>
              </w:rPr>
              <w:t>Rejected</w:t>
            </w:r>
            <w:r>
              <w:br/>
            </w:r>
            <w:r>
              <w:rPr>
                <w:b w:val="0"/>
                <w:i w:val="0"/>
              </w:rPr>
              <w:t>reason required</w:t>
            </w:r>
            <w:r>
              <w:br/>
            </w:r>
            <w:r>
              <w:rPr>
                <w:b w:val="0"/>
                <w:i w:val="0"/>
              </w:rPr>
              <w:t>back to the submitter</w:t>
            </w:r>
          </w:p>
        </w:tc>
        <w:tc>
          <w:tcPr>
            <w:tcW w:type="dxa" w:w="1399"/>
          </w:tcPr>
          <w:p>
            <w:pPr>
              <w:spacing w:after="40"/>
            </w:pPr>
            <w:r/>
          </w:p>
        </w:tc>
        <w:tc>
          <w:tcPr>
            <w:tcW w:type="dxa" w:w="1399"/>
          </w:tcPr>
          <w:p>
            <w:pPr>
              <w:spacing w:after="40"/>
            </w:pPr>
            <w:r/>
            <w:r>
              <w:rPr>
                <w:b w:val="0"/>
                <w:i w:val="0"/>
              </w:rPr>
              <w:t>Overridden and</w:t>
            </w:r>
            <w:r>
              <w:br/>
            </w:r>
            <w:r>
              <w:rPr>
                <w:b w:val="0"/>
                <w:i w:val="0"/>
              </w:rPr>
              <w:t>approved</w:t>
            </w:r>
            <w:r>
              <w:br/>
            </w:r>
            <w:r>
              <w:rPr>
                <w:b/>
                <w:i w:val="0"/>
              </w:rPr>
              <w:t>+ Overridden</w:t>
            </w:r>
          </w:p>
        </w:tc>
        <w:tc>
          <w:tcPr>
            <w:tcW w:type="dxa" w:w="1399"/>
          </w:tcPr>
          <w:p>
            <w:pPr>
              <w:spacing w:after="40"/>
            </w:pPr>
            <w:r/>
          </w:p>
        </w:tc>
        <w:tc>
          <w:tcPr>
            <w:tcW w:type="dxa" w:w="1399"/>
          </w:tcPr>
          <w:p>
            <w:pPr>
              <w:spacing w:after="40"/>
            </w:pPr>
            <w:r/>
          </w:p>
        </w:tc>
      </w:tr>
    </w:tbl>
    <w:p/>
    <w:p>
      <w:r>
        <w:rPr>
          <w:b/>
          <w:i w:val="0"/>
          <w:color w:val="55657A"/>
        </w:rPr>
        <w:t>The flags each event raises:</w:t>
      </w:r>
      <w:r>
        <w:rPr>
          <w:b w:val="0"/>
          <w:i w:val="0"/>
          <w:color w:val="55657A"/>
        </w:rPr>
        <w:t xml:space="preserve"> submitting late raises </w:t>
      </w:r>
      <w:r>
        <w:rPr>
          <w:b w:val="0"/>
          <w:i/>
          <w:color w:val="55657A"/>
        </w:rPr>
        <w:t>Late submission</w:t>
      </w:r>
      <w:r>
        <w:rPr>
          <w:b w:val="0"/>
          <w:i w:val="0"/>
          <w:color w:val="55657A"/>
        </w:rPr>
        <w:t xml:space="preserve">; a cut-off raises </w:t>
      </w:r>
      <w:r>
        <w:rPr>
          <w:b w:val="0"/>
          <w:i/>
          <w:color w:val="55657A"/>
        </w:rPr>
        <w:t>Defaulted</w:t>
      </w:r>
      <w:r>
        <w:rPr>
          <w:b w:val="0"/>
          <w:i w:val="0"/>
          <w:color w:val="55657A"/>
        </w:rPr>
        <w:t xml:space="preserve"> and, if it was the submitter’s deadline, locks further edits; overriding raises </w:t>
      </w:r>
      <w:r>
        <w:rPr>
          <w:b w:val="0"/>
          <w:i/>
          <w:color w:val="55657A"/>
        </w:rPr>
        <w:t>Overridden &amp; approved</w:t>
      </w:r>
      <w:r>
        <w:rPr>
          <w:b w:val="0"/>
          <w:i w:val="0"/>
          <w:color w:val="55657A"/>
        </w:rPr>
        <w:t xml:space="preserve">; closing ahead of the cut-off raises </w:t>
      </w:r>
      <w:r>
        <w:rPr>
          <w:b w:val="0"/>
          <w:i/>
          <w:color w:val="55657A"/>
        </w:rPr>
        <w:t>Advance closure</w:t>
      </w:r>
      <w:r>
        <w:rPr>
          <w:b w:val="0"/>
          <w:i w:val="0"/>
          <w:color w:val="55657A"/>
        </w:rPr>
        <w:t xml:space="preserve">. </w:t>
      </w:r>
      <w:r>
        <w:rPr>
          <w:b w:val="0"/>
          <w:i/>
          <w:color w:val="55657A"/>
        </w:rPr>
        <w:t>Reversal</w:t>
      </w:r>
      <w:r>
        <w:rPr>
          <w:b w:val="0"/>
          <w:i w:val="0"/>
          <w:color w:val="55657A"/>
        </w:rPr>
        <w:t xml:space="preserve"> and </w:t>
      </w:r>
      <w:r>
        <w:rPr>
          <w:b w:val="0"/>
          <w:i/>
          <w:color w:val="55657A"/>
        </w:rPr>
        <w:t>Adjustment</w:t>
      </w:r>
      <w:r>
        <w:rPr>
          <w:b w:val="0"/>
          <w:i w:val="0"/>
          <w:color w:val="55657A"/>
        </w:rPr>
        <w:t xml:space="preserve"> are derived from the entries rather than raised by a transition. Detail in 3.3.</w:t>
      </w:r>
    </w:p>
    <w:p>
      <w:pPr>
        <w:pStyle w:val="Heading3"/>
      </w:pPr>
      <w:r>
        <w:t>Flow 2 — outbound: what leaves, at which grain, in which order</w:t>
      </w:r>
    </w:p>
    <w:tbl>
      <w:tblPr>
        <w:tblStyle w:val="TableGrid"/>
        <w:tblW w:type="auto" w:w="0"/>
        <w:jc w:val="center"/>
        <w:tblLook w:firstColumn="1" w:firstRow="1" w:lastColumn="0" w:lastRow="0" w:noHBand="0" w:noVBand="1" w:val="04A0"/>
      </w:tblPr>
      <w:tblGrid>
        <w:gridCol w:w="3264"/>
        <w:gridCol w:w="3264"/>
        <w:gridCol w:w="3264"/>
      </w:tblGrid>
      <w:tr>
        <w:tc>
          <w:tcPr>
            <w:tcW w:type="dxa" w:w="9792"/>
            <w:gridSpan w:val="3"/>
          </w:tcPr>
          <w:p>
            <w:pPr>
              <w:spacing w:after="40"/>
            </w:pPr>
            <w:r/>
            <w:r>
              <w:rPr>
                <w:b/>
                <w:i w:val="0"/>
              </w:rPr>
              <w:t>MONTH CONFIRMED</w:t>
            </w:r>
            <w:r>
              <w:br/>
            </w:r>
            <w:r>
              <w:rPr>
                <w:b w:val="0"/>
                <w:i w:val="0"/>
              </w:rPr>
              <w:t>RULE-020 — every week approved · OC_TS_MONTH_CONFIRM</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r>
              <w:rPr>
                <w:b w:val="0"/>
                <w:i w:val="0"/>
              </w:rPr>
              <w:t>↓</w:t>
            </w:r>
          </w:p>
        </w:tc>
      </w:tr>
      <w:tr>
        <w:tc>
          <w:tcPr>
            <w:tcW w:type="dxa" w:w="3264"/>
          </w:tcPr>
          <w:p>
            <w:pPr>
              <w:spacing w:after="40"/>
            </w:pPr>
            <w:r/>
            <w:r>
              <w:rPr>
                <w:b/>
                <w:i w:val="0"/>
              </w:rPr>
              <w:t>PROJECT COSTING</w:t>
            </w:r>
            <w:r>
              <w:br/>
            </w:r>
            <w:r>
              <w:rPr>
                <w:b w:val="0"/>
                <w:i w:val="0"/>
              </w:rPr>
              <w:t>POST unprocessedProjectCosts</w:t>
            </w:r>
            <w:r>
              <w:br/>
            </w:r>
            <w:r>
              <w:rPr>
                <w:b/>
                <w:i w:val="0"/>
              </w:rPr>
              <w:t>one row per approved entry</w:t>
            </w:r>
            <w:r>
              <w:br/>
            </w:r>
            <w:r>
              <w:rPr>
                <w:b w:val="0"/>
                <w:i w:val="0"/>
              </w:rPr>
              <w:t>POET in the flexfield block</w:t>
            </w:r>
            <w:r>
              <w:br/>
            </w:r>
            <w:r>
              <w:rPr>
                <w:b w:val="0"/>
                <w:i w:val="0"/>
              </w:rPr>
              <w:t>IS_LEAVE = Y excluded</w:t>
            </w:r>
          </w:p>
        </w:tc>
        <w:tc>
          <w:tcPr>
            <w:tcW w:type="dxa" w:w="3264"/>
          </w:tcPr>
          <w:p>
            <w:pPr>
              <w:spacing w:after="40"/>
            </w:pPr>
            <w:r/>
            <w:r>
              <w:rPr>
                <w:b/>
                <w:i w:val="0"/>
              </w:rPr>
              <w:t>ACCRUAL STAGING — our schema</w:t>
            </w:r>
            <w:r>
              <w:br/>
            </w:r>
            <w:r>
              <w:rPr>
                <w:b w:val="0"/>
                <w:i w:val="0"/>
              </w:rPr>
              <w:t>summary</w:t>
            </w:r>
            <w:r>
              <w:br/>
            </w:r>
            <w:r>
              <w:rPr>
                <w:b w:val="0"/>
                <w:i w:val="0"/>
              </w:rPr>
              <w:t>complete timesheet, employee-wise</w:t>
            </w:r>
            <w:r>
              <w:br/>
            </w:r>
            <w:r>
              <w:rPr>
                <w:b w:val="0"/>
                <w:i w:val="0"/>
              </w:rPr>
              <w:t>adjustments if any</w:t>
            </w:r>
          </w:p>
        </w:tc>
        <w:tc>
          <w:tcPr>
            <w:tcW w:type="dxa" w:w="3264"/>
          </w:tcPr>
          <w:p>
            <w:pPr>
              <w:spacing w:after="40"/>
            </w:pPr>
            <w:r/>
            <w:r>
              <w:rPr>
                <w:b/>
                <w:i w:val="0"/>
              </w:rPr>
              <w:t>NOT SENT</w:t>
            </w:r>
            <w:r>
              <w:br/>
            </w:r>
            <w:r>
              <w:rPr>
                <w:b w:val="0"/>
                <w:i w:val="0"/>
              </w:rPr>
              <w:t>OTL push — on hold</w:t>
            </w:r>
            <w:r>
              <w:br/>
            </w:r>
            <w:r>
              <w:rPr>
                <w:b w:val="0"/>
                <w:i w:val="0"/>
              </w:rPr>
              <w:t>Payroll — out of scope</w:t>
            </w:r>
            <w:r>
              <w:br/>
            </w:r>
            <w:r>
              <w:rPr>
                <w:b w:val="0"/>
                <w:i w:val="0"/>
              </w:rPr>
              <w:t>Absence — nothing written back</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p>
        </w:tc>
      </w:tr>
      <w:tr>
        <w:tc>
          <w:tcPr>
            <w:tcW w:type="dxa" w:w="3264"/>
          </w:tcPr>
          <w:p>
            <w:pPr>
              <w:spacing w:after="40"/>
            </w:pPr>
            <w:r/>
            <w:r>
              <w:rPr>
                <w:b w:val="0"/>
                <w:i/>
              </w:rPr>
              <w:t>Import Costs</w:t>
            </w:r>
            <w:r>
              <w:rPr>
                <w:b w:val="0"/>
                <w:i w:val="0"/>
              </w:rPr>
              <w:t xml:space="preserve"> (ESS, in Fusion)</w:t>
            </w:r>
            <w:r>
              <w:br/>
            </w:r>
            <w:r>
              <w:rPr>
                <w:b w:val="0"/>
                <w:i w:val="0"/>
              </w:rPr>
              <w:t>then read rejections back</w:t>
            </w:r>
            <w:r>
              <w:br/>
            </w:r>
            <w:r>
              <w:rPr>
                <w:b w:val="0"/>
                <w:i w:val="0"/>
              </w:rPr>
              <w:t>StatusCode = 'R'</w:t>
            </w:r>
          </w:p>
        </w:tc>
        <w:tc>
          <w:tcPr>
            <w:tcW w:type="dxa" w:w="3264"/>
          </w:tcPr>
          <w:p>
            <w:pPr>
              <w:spacing w:after="40"/>
            </w:pPr>
            <w:r/>
            <w:r>
              <w:rPr>
                <w:b/>
                <w:i w:val="0"/>
              </w:rPr>
              <w:t>ACCRUAL MODULE PULLS</w:t>
            </w:r>
            <w:r>
              <w:br/>
            </w:r>
            <w:r>
              <w:rPr>
                <w:b w:val="0"/>
                <w:i w:val="0"/>
              </w:rPr>
              <w:t>reads from our table — we never</w:t>
            </w:r>
            <w:r>
              <w:br/>
            </w:r>
            <w:r>
              <w:rPr>
                <w:b w:val="0"/>
                <w:i w:val="0"/>
              </w:rPr>
              <w:t>write into accrual’s own tables</w:t>
            </w:r>
            <w:r>
              <w:br/>
            </w:r>
            <w:r>
              <w:rPr>
                <w:b w:val="0"/>
                <w:i/>
              </w:rPr>
              <w:t>structure WIP, from the accrual side</w:t>
            </w:r>
          </w:p>
        </w:tc>
        <w:tc>
          <w:tcPr>
            <w:tcW w:type="dxa" w:w="3264"/>
          </w:tcPr>
          <w:p>
            <w:pPr>
              <w:spacing w:after="40"/>
            </w:pPr>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p>
        </w:tc>
      </w:tr>
      <w:tr>
        <w:tc>
          <w:tcPr>
            <w:tcW w:type="dxa" w:w="3264"/>
          </w:tcPr>
          <w:p>
            <w:pPr>
              <w:spacing w:after="40"/>
            </w:pPr>
            <w:r/>
            <w:r>
              <w:rPr>
                <w:b w:val="0"/>
                <w:i w:val="0"/>
              </w:rPr>
              <w:t>OTL_STATUS</w:t>
            </w:r>
          </w:p>
        </w:tc>
        <w:tc>
          <w:tcPr>
            <w:tcW w:type="dxa" w:w="3264"/>
          </w:tcPr>
          <w:p>
            <w:pPr>
              <w:spacing w:after="40"/>
            </w:pPr>
            <w:r/>
            <w:r>
              <w:rPr>
                <w:b w:val="0"/>
                <w:i w:val="0"/>
              </w:rPr>
              <w:t>ACCRUAL_STATUS · PARTNER_STATUS</w:t>
            </w:r>
          </w:p>
        </w:tc>
        <w:tc>
          <w:tcPr>
            <w:tcW w:type="dxa" w:w="3264"/>
          </w:tcPr>
          <w:p>
            <w:pPr>
              <w:spacing w:after="40"/>
            </w:pPr>
            <w:r/>
          </w:p>
        </w:tc>
      </w:tr>
    </w:tbl>
    <w:p/>
    <w:p>
      <w:pPr>
        <w:pStyle w:val="Heading2"/>
      </w:pPr>
      <w:r>
        <w:t>7.1 Inbound — what is fetched, and what it is used for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Step</w:t>
            </w:r>
          </w:p>
        </w:tc>
        <w:tc>
          <w:tcPr>
            <w:tcW w:type="dxa" w:w="3264"/>
            <w:shd w:val="clear" w:fill="F1F3F6"/>
          </w:tcPr>
          <w:p>
            <w:pPr>
              <w:spacing w:after="40"/>
            </w:pPr>
            <w:r/>
            <w:r>
              <w:rPr>
                <w:b/>
                <w:i w:val="0"/>
              </w:rPr>
              <w:t>Fetched live from Fusion</w:t>
            </w:r>
          </w:p>
        </w:tc>
        <w:tc>
          <w:tcPr>
            <w:tcW w:type="dxa" w:w="3264"/>
            <w:shd w:val="clear" w:fill="F1F3F6"/>
          </w:tcPr>
          <w:p>
            <w:pPr>
              <w:spacing w:after="40"/>
            </w:pPr>
            <w:r/>
            <w:r>
              <w:rPr>
                <w:b/>
                <w:i w:val="0"/>
              </w:rPr>
              <w:t>Used for</w:t>
            </w:r>
          </w:p>
        </w:tc>
      </w:tr>
      <w:tr>
        <w:tc>
          <w:tcPr>
            <w:tcW w:type="dxa" w:w="3264"/>
          </w:tcPr>
          <w:p>
            <w:pPr>
              <w:spacing w:after="40"/>
            </w:pPr>
            <w:r/>
            <w:r>
              <w:rPr>
                <w:b w:val="0"/>
                <w:i w:val="0"/>
              </w:rPr>
              <w:t>1</w:t>
            </w:r>
          </w:p>
        </w:tc>
        <w:tc>
          <w:tcPr>
            <w:tcW w:type="dxa" w:w="3264"/>
          </w:tcPr>
          <w:p>
            <w:pPr>
              <w:spacing w:after="40"/>
            </w:pPr>
            <w:r/>
            <w:r>
              <w:rPr>
                <w:b w:val="0"/>
                <w:i w:val="0"/>
              </w:rPr>
              <w:t>Projects the person may charge to</w:t>
            </w:r>
          </w:p>
        </w:tc>
        <w:tc>
          <w:tcPr>
            <w:tcW w:type="dxa" w:w="3264"/>
          </w:tcPr>
          <w:p>
            <w:pPr>
              <w:spacing w:after="40"/>
            </w:pPr>
            <w:r/>
            <w:r>
              <w:rPr>
                <w:b w:val="0"/>
                <w:i w:val="0"/>
              </w:rPr>
              <w:t>the Project picker; the project manager is the approval route</w:t>
            </w:r>
          </w:p>
        </w:tc>
      </w:tr>
      <w:tr>
        <w:tc>
          <w:tcPr>
            <w:tcW w:type="dxa" w:w="3264"/>
          </w:tcPr>
          <w:p>
            <w:pPr>
              <w:spacing w:after="40"/>
            </w:pPr>
            <w:r/>
            <w:r>
              <w:rPr>
                <w:b w:val="0"/>
                <w:i w:val="0"/>
              </w:rPr>
              <w:t>2</w:t>
            </w:r>
          </w:p>
        </w:tc>
        <w:tc>
          <w:tcPr>
            <w:tcW w:type="dxa" w:w="3264"/>
          </w:tcPr>
          <w:p>
            <w:pPr>
              <w:spacing w:after="40"/>
            </w:pPr>
            <w:r/>
            <w:r>
              <w:rPr>
                <w:b w:val="0"/>
                <w:i w:val="0"/>
              </w:rPr>
              <w:t>WBS tasks, chargeable and billable flags</w:t>
            </w:r>
          </w:p>
        </w:tc>
        <w:tc>
          <w:tcPr>
            <w:tcW w:type="dxa" w:w="3264"/>
          </w:tcPr>
          <w:p>
            <w:pPr>
              <w:spacing w:after="40"/>
            </w:pPr>
            <w:r/>
            <w:r>
              <w:rPr>
                <w:b w:val="0"/>
                <w:i w:val="0"/>
              </w:rPr>
              <w:t>the Task picker; billability of the entry</w:t>
            </w:r>
          </w:p>
        </w:tc>
      </w:tr>
      <w:tr>
        <w:tc>
          <w:tcPr>
            <w:tcW w:type="dxa" w:w="3264"/>
          </w:tcPr>
          <w:p>
            <w:pPr>
              <w:spacing w:after="40"/>
            </w:pPr>
            <w:r/>
            <w:r>
              <w:rPr>
                <w:b w:val="0"/>
                <w:i w:val="0"/>
              </w:rPr>
              <w:t>3</w:t>
            </w:r>
          </w:p>
        </w:tc>
        <w:tc>
          <w:tcPr>
            <w:tcW w:type="dxa" w:w="3264"/>
          </w:tcPr>
          <w:p>
            <w:pPr>
              <w:spacing w:after="40"/>
            </w:pPr>
            <w:r/>
            <w:r>
              <w:rPr>
                <w:b w:val="0"/>
                <w:i w:val="0"/>
              </w:rPr>
              <w:t>Expenditure type; expenditure organization from the assignment</w:t>
            </w:r>
          </w:p>
        </w:tc>
        <w:tc>
          <w:tcPr>
            <w:tcW w:type="dxa" w:w="3264"/>
          </w:tcPr>
          <w:p>
            <w:pPr>
              <w:spacing w:after="40"/>
            </w:pPr>
            <w:r/>
            <w:r>
              <w:rPr>
                <w:b w:val="0"/>
                <w:i w:val="0"/>
              </w:rPr>
              <w:t>completes POET so the cost can be posted at all</w:t>
            </w:r>
          </w:p>
        </w:tc>
      </w:tr>
      <w:tr>
        <w:tc>
          <w:tcPr>
            <w:tcW w:type="dxa" w:w="3264"/>
          </w:tcPr>
          <w:p>
            <w:pPr>
              <w:spacing w:after="40"/>
            </w:pPr>
            <w:r/>
            <w:r>
              <w:rPr>
                <w:b w:val="0"/>
                <w:i w:val="0"/>
              </w:rPr>
              <w:t>4</w:t>
            </w:r>
          </w:p>
        </w:tc>
        <w:tc>
          <w:tcPr>
            <w:tcW w:type="dxa" w:w="3264"/>
          </w:tcPr>
          <w:p>
            <w:pPr>
              <w:spacing w:after="40"/>
            </w:pPr>
            <w:r/>
            <w:r>
              <w:rPr>
                <w:b w:val="0"/>
                <w:i w:val="0"/>
              </w:rPr>
              <w:t>Allocation percentage and dates</w:t>
            </w:r>
          </w:p>
        </w:tc>
        <w:tc>
          <w:tcPr>
            <w:tcW w:type="dxa" w:w="3264"/>
          </w:tcPr>
          <w:p>
            <w:pPr>
              <w:spacing w:after="40"/>
            </w:pPr>
            <w:r/>
            <w:r>
              <w:rPr>
                <w:b w:val="0"/>
                <w:i w:val="0"/>
              </w:rPr>
              <w:t>the multiplier for prepopulation; the “My allocation” panel; whose time a manager sees</w:t>
            </w:r>
          </w:p>
        </w:tc>
      </w:tr>
      <w:tr>
        <w:tc>
          <w:tcPr>
            <w:tcW w:type="dxa" w:w="3264"/>
          </w:tcPr>
          <w:p>
            <w:pPr>
              <w:spacing w:after="40"/>
            </w:pPr>
            <w:r/>
            <w:r>
              <w:rPr>
                <w:b w:val="0"/>
                <w:i w:val="0"/>
              </w:rPr>
              <w:t>5</w:t>
            </w:r>
          </w:p>
        </w:tc>
        <w:tc>
          <w:tcPr>
            <w:tcW w:type="dxa" w:w="3264"/>
          </w:tcPr>
          <w:p>
            <w:pPr>
              <w:spacing w:after="40"/>
            </w:pPr>
            <w:r/>
            <w:r>
              <w:rPr>
                <w:b w:val="0"/>
                <w:i w:val="0"/>
              </w:rPr>
              <w:t>Rate schedule</w:t>
            </w:r>
          </w:p>
        </w:tc>
        <w:tc>
          <w:tcPr>
            <w:tcW w:type="dxa" w:w="3264"/>
          </w:tcPr>
          <w:p>
            <w:pPr>
              <w:spacing w:after="40"/>
            </w:pPr>
            <w:r/>
            <w:r>
              <w:rPr>
                <w:b w:val="0"/>
                <w:i w:val="0"/>
              </w:rPr>
              <w:t>valuing hours for the accrual figure — not sent to Costing</w:t>
            </w:r>
          </w:p>
        </w:tc>
      </w:tr>
      <w:tr>
        <w:tc>
          <w:tcPr>
            <w:tcW w:type="dxa" w:w="3264"/>
          </w:tcPr>
          <w:p>
            <w:pPr>
              <w:spacing w:after="40"/>
            </w:pPr>
            <w:r/>
            <w:r>
              <w:rPr>
                <w:b w:val="0"/>
                <w:i w:val="0"/>
              </w:rPr>
              <w:t>6</w:t>
            </w:r>
          </w:p>
        </w:tc>
        <w:tc>
          <w:tcPr>
            <w:tcW w:type="dxa" w:w="3264"/>
          </w:tcPr>
          <w:p>
            <w:pPr>
              <w:spacing w:after="40"/>
            </w:pPr>
            <w:r/>
            <w:r>
              <w:rPr>
                <w:b w:val="0"/>
                <w:i w:val="0"/>
              </w:rPr>
              <w:t>Work schedule and shift pattern</w:t>
            </w:r>
          </w:p>
        </w:tc>
        <w:tc>
          <w:tcPr>
            <w:tcW w:type="dxa" w:w="3264"/>
          </w:tcPr>
          <w:p>
            <w:pPr>
              <w:spacing w:after="40"/>
            </w:pPr>
            <w:r/>
            <w:r>
              <w:rPr>
                <w:b w:val="0"/>
                <w:i w:val="0"/>
              </w:rPr>
              <w:t>the Shift row; standard hours per day, which every seeded figure depends on</w:t>
            </w:r>
          </w:p>
        </w:tc>
      </w:tr>
      <w:tr>
        <w:tc>
          <w:tcPr>
            <w:tcW w:type="dxa" w:w="3264"/>
          </w:tcPr>
          <w:p>
            <w:pPr>
              <w:spacing w:after="40"/>
            </w:pPr>
            <w:r/>
            <w:r>
              <w:rPr>
                <w:b w:val="0"/>
                <w:i w:val="0"/>
              </w:rPr>
              <w:t>7</w:t>
            </w:r>
          </w:p>
        </w:tc>
        <w:tc>
          <w:tcPr>
            <w:tcW w:type="dxa" w:w="3264"/>
          </w:tcPr>
          <w:p>
            <w:pPr>
              <w:spacing w:after="40"/>
            </w:pPr>
            <w:r/>
            <w:r>
              <w:rPr>
                <w:b w:val="0"/>
                <w:i w:val="0"/>
              </w:rPr>
              <w:t>Calendar by location, calendar events</w:t>
            </w:r>
          </w:p>
        </w:tc>
        <w:tc>
          <w:tcPr>
            <w:tcW w:type="dxa" w:w="3264"/>
          </w:tcPr>
          <w:p>
            <w:pPr>
              <w:spacing w:after="40"/>
            </w:pPr>
            <w:r/>
            <w:r>
              <w:rPr>
                <w:b w:val="0"/>
                <w:i w:val="0"/>
              </w:rPr>
              <w:t>which days are non-working, per person — a holiday in one location is a working day in another</w:t>
            </w:r>
          </w:p>
        </w:tc>
      </w:tr>
      <w:tr>
        <w:tc>
          <w:tcPr>
            <w:tcW w:type="dxa" w:w="3264"/>
          </w:tcPr>
          <w:p>
            <w:pPr>
              <w:spacing w:after="40"/>
            </w:pPr>
            <w:r/>
            <w:r>
              <w:rPr>
                <w:b w:val="0"/>
                <w:i w:val="0"/>
              </w:rPr>
              <w:t>8</w:t>
            </w:r>
          </w:p>
        </w:tc>
        <w:tc>
          <w:tcPr>
            <w:tcW w:type="dxa" w:w="3264"/>
          </w:tcPr>
          <w:p>
            <w:pPr>
              <w:spacing w:after="40"/>
            </w:pPr>
            <w:r/>
            <w:r>
              <w:rPr>
                <w:b w:val="0"/>
                <w:i w:val="0"/>
              </w:rPr>
              <w:t>Absence for that person, those dates</w:t>
            </w:r>
          </w:p>
        </w:tc>
        <w:tc>
          <w:tcPr>
            <w:tcW w:type="dxa" w:w="3264"/>
          </w:tcPr>
          <w:p>
            <w:pPr>
              <w:spacing w:after="40"/>
            </w:pPr>
            <w:r/>
            <w:r>
              <w:rPr>
                <w:b w:val="0"/>
                <w:i w:val="0"/>
              </w:rPr>
              <w:t>read-only leave rows; the trigger for leave-loss on FCP</w:t>
            </w:r>
          </w:p>
        </w:tc>
      </w:tr>
    </w:tbl>
    <w:p/>
    <w:p>
      <w:r>
        <w:rPr>
          <w:b w:val="0"/>
          <w:i w:val="0"/>
          <w:color w:val="55657A"/>
        </w:rPr>
        <w:t xml:space="preserve">Then: </w:t>
      </w:r>
      <w:r>
        <w:rPr>
          <w:b/>
          <w:i w:val="0"/>
          <w:color w:val="55657A"/>
        </w:rPr>
        <w:t>prepopulate</w:t>
      </w:r>
      <w:r>
        <w:rPr>
          <w:b w:val="0"/>
          <w:i w:val="0"/>
          <w:color w:val="55657A"/>
        </w:rPr>
        <w:t xml:space="preserve"> (standard hours × allocation percentage, quarter-rounded, one line on the first chargeable task) → </w:t>
      </w:r>
      <w:r>
        <w:rPr>
          <w:b/>
          <w:i w:val="0"/>
          <w:color w:val="55657A"/>
        </w:rPr>
        <w:t>employee edits</w:t>
      </w:r>
      <w:r>
        <w:rPr>
          <w:b w:val="0"/>
          <w:i w:val="0"/>
          <w:color w:val="55657A"/>
        </w:rPr>
        <w:t xml:space="preserve">, with the resolved POET written onto each entry → </w:t>
      </w:r>
      <w:r>
        <w:rPr>
          <w:b/>
          <w:i w:val="0"/>
          <w:color w:val="55657A"/>
        </w:rPr>
        <w:t>validate</w:t>
      </w:r>
      <w:r>
        <w:rPr>
          <w:b w:val="0"/>
          <w:i w:val="0"/>
          <w:color w:val="55657A"/>
        </w:rPr>
        <w:t xml:space="preserve"> in the database → the week enters the lifecycle below at </w:t>
      </w:r>
      <w:r>
        <w:rPr>
          <w:b w:val="0"/>
          <w:i/>
          <w:color w:val="55657A"/>
        </w:rPr>
        <w:t>Not yet submitted</w:t>
      </w:r>
      <w:r>
        <w:rPr>
          <w:b w:val="0"/>
          <w:i w:val="0"/>
          <w:color w:val="55657A"/>
        </w:rPr>
        <w:t>.</w:t>
      </w:r>
    </w:p>
    <w:p>
      <w:pPr>
        <w:pStyle w:val="Heading2"/>
      </w:pPr>
      <w:r>
        <w:t>7.2 Status — every transition</w:t>
      </w:r>
    </w:p>
    <w:p>
      <w:r>
        <w:rPr>
          <w:b w:val="0"/>
          <w:i w:val="0"/>
        </w:rPr>
        <w:t>Six statuses, one at a time, the same set at every level. Flags accumulate separately and are shown in the last column.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From</w:t>
            </w:r>
          </w:p>
        </w:tc>
        <w:tc>
          <w:tcPr>
            <w:tcW w:type="dxa" w:w="2448"/>
            <w:shd w:val="clear" w:fill="F1F3F6"/>
          </w:tcPr>
          <w:p>
            <w:pPr>
              <w:spacing w:after="40"/>
            </w:pPr>
            <w:r/>
            <w:r>
              <w:rPr>
                <w:b/>
                <w:i w:val="0"/>
              </w:rPr>
              <w:t>Event</w:t>
            </w:r>
          </w:p>
        </w:tc>
        <w:tc>
          <w:tcPr>
            <w:tcW w:type="dxa" w:w="2448"/>
            <w:shd w:val="clear" w:fill="F1F3F6"/>
          </w:tcPr>
          <w:p>
            <w:pPr>
              <w:spacing w:after="40"/>
            </w:pPr>
            <w:r/>
            <w:r>
              <w:rPr>
                <w:b/>
                <w:i w:val="0"/>
              </w:rPr>
              <w:t>To</w:t>
            </w:r>
          </w:p>
        </w:tc>
        <w:tc>
          <w:tcPr>
            <w:tcW w:type="dxa" w:w="2448"/>
            <w:shd w:val="clear" w:fill="F1F3F6"/>
          </w:tcPr>
          <w:p>
            <w:pPr>
              <w:spacing w:after="40"/>
            </w:pPr>
            <w:r/>
            <w:r>
              <w:rPr>
                <w:b/>
                <w:i w:val="0"/>
              </w:rPr>
              <w:t>Flag effect</w:t>
            </w:r>
          </w:p>
        </w:tc>
      </w:tr>
      <w:tr>
        <w:tc>
          <w:tcPr>
            <w:tcW w:type="dxa" w:w="2448"/>
          </w:tcPr>
          <w:p>
            <w:pPr>
              <w:spacing w:after="40"/>
            </w:pPr>
            <w:r/>
            <w:r>
              <w:rPr>
                <w:b w:val="0"/>
                <w:i w:val="0"/>
              </w:rPr>
              <w:t>Not yet submitted</w:t>
            </w:r>
          </w:p>
        </w:tc>
        <w:tc>
          <w:tcPr>
            <w:tcW w:type="dxa" w:w="2448"/>
          </w:tcPr>
          <w:p>
            <w:pPr>
              <w:spacing w:after="40"/>
            </w:pPr>
            <w:r/>
            <w:r>
              <w:rPr>
                <w:b w:val="0"/>
                <w:i w:val="0"/>
              </w:rPr>
              <w:t>Employee submits</w:t>
            </w:r>
          </w:p>
        </w:tc>
        <w:tc>
          <w:tcPr>
            <w:tcW w:type="dxa" w:w="2448"/>
          </w:tcPr>
          <w:p>
            <w:pPr>
              <w:spacing w:after="40"/>
            </w:pPr>
            <w:r/>
            <w:r>
              <w:rPr>
                <w:b/>
                <w:i w:val="0"/>
              </w:rPr>
              <w:t>Submitted</w:t>
            </w:r>
          </w:p>
        </w:tc>
        <w:tc>
          <w:tcPr>
            <w:tcW w:type="dxa" w:w="2448"/>
          </w:tcPr>
          <w:p>
            <w:pPr>
              <w:spacing w:after="40"/>
            </w:pPr>
            <w:r/>
            <w:r>
              <w:rPr>
                <w:b w:val="0"/>
                <w:i w:val="0"/>
              </w:rPr>
              <w:t xml:space="preserve">+ </w:t>
            </w:r>
            <w:r>
              <w:rPr>
                <w:b w:val="0"/>
                <w:i/>
              </w:rPr>
              <w:t>Late submission</w:t>
            </w:r>
            <w:r>
              <w:rPr>
                <w:b w:val="0"/>
                <w:i w:val="0"/>
              </w:rPr>
              <w:t xml:space="preserve"> if after the weekly cut-off</w:t>
            </w:r>
          </w:p>
        </w:tc>
      </w:tr>
      <w:tr>
        <w:tc>
          <w:tcPr>
            <w:tcW w:type="dxa" w:w="2448"/>
          </w:tcPr>
          <w:p>
            <w:pPr>
              <w:spacing w:after="40"/>
            </w:pPr>
            <w:r/>
            <w:r>
              <w:rPr>
                <w:b w:val="0"/>
                <w:i w:val="0"/>
              </w:rPr>
              <w:t>Not yet submitted</w:t>
            </w:r>
          </w:p>
        </w:tc>
        <w:tc>
          <w:tcPr>
            <w:tcW w:type="dxa" w:w="2448"/>
          </w:tcPr>
          <w:p>
            <w:pPr>
              <w:spacing w:after="40"/>
            </w:pPr>
            <w:r/>
            <w:r>
              <w:rPr>
                <w:b/>
                <w:i w:val="0"/>
              </w:rPr>
              <w:t>Weekly cut-off job</w:t>
            </w:r>
            <w:r>
              <w:rPr>
                <w:b w:val="0"/>
                <w:i w:val="0"/>
              </w:rPr>
              <w:t xml:space="preserve"> — never submitted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EMPLOYEE</w:t>
            </w:r>
            <w:r>
              <w:rPr>
                <w:b w:val="0"/>
                <w:i w:val="0"/>
              </w:rPr>
              <w:t xml:space="preserve">; </w:t>
            </w:r>
            <w:r>
              <w:rPr>
                <w:b/>
                <w:i w:val="0"/>
              </w:rPr>
              <w:t>locks the week</w:t>
            </w:r>
          </w:p>
        </w:tc>
      </w:tr>
      <w:tr>
        <w:tc>
          <w:tcPr>
            <w:tcW w:type="dxa" w:w="2448"/>
          </w:tcPr>
          <w:p>
            <w:pPr>
              <w:spacing w:after="40"/>
            </w:pPr>
            <w:r/>
            <w:r>
              <w:rPr>
                <w:b w:val="0"/>
                <w:i w:val="0"/>
              </w:rPr>
              <w:t>Submitted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Manager rejects — reason mandatory</w:t>
            </w:r>
          </w:p>
        </w:tc>
        <w:tc>
          <w:tcPr>
            <w:tcW w:type="dxa" w:w="2448"/>
          </w:tcPr>
          <w:p>
            <w:pPr>
              <w:spacing w:after="40"/>
            </w:pPr>
            <w:r/>
            <w:r>
              <w:rPr>
                <w:b/>
                <w:i w:val="0"/>
              </w:rPr>
              <w:t>Rejected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Employee revokes their own submission</w:t>
            </w:r>
          </w:p>
        </w:tc>
        <w:tc>
          <w:tcPr>
            <w:tcW w:type="dxa" w:w="2448"/>
          </w:tcPr>
          <w:p>
            <w:pPr>
              <w:spacing w:after="40"/>
            </w:pPr>
            <w:r/>
            <w:r>
              <w:rPr>
                <w:b/>
                <w:i w:val="0"/>
              </w:rPr>
              <w:t>Not yet submitted</w:t>
            </w:r>
          </w:p>
        </w:tc>
        <w:tc>
          <w:tcPr>
            <w:tcW w:type="dxa" w:w="2448"/>
          </w:tcPr>
          <w:p>
            <w:pPr>
              <w:spacing w:after="40"/>
            </w:pPr>
            <w:r/>
            <w:r>
              <w:rPr>
                <w:b w:val="0"/>
                <w:i/>
              </w:rPr>
              <w:t>Late submission</w:t>
            </w:r>
            <w:r>
              <w:rPr>
                <w:b w:val="0"/>
                <w:i w:val="0"/>
              </w:rPr>
              <w:t xml:space="preserve"> retained — it did happen</w:t>
            </w:r>
          </w:p>
        </w:tc>
      </w:tr>
      <w:tr>
        <w:tc>
          <w:tcPr>
            <w:tcW w:type="dxa" w:w="2448"/>
          </w:tcPr>
          <w:p>
            <w:pPr>
              <w:spacing w:after="40"/>
            </w:pPr>
            <w:r/>
            <w:r>
              <w:rPr>
                <w:b w:val="0"/>
                <w:i w:val="0"/>
              </w:rPr>
              <w:t>Submitted</w:t>
            </w:r>
          </w:p>
        </w:tc>
        <w:tc>
          <w:tcPr>
            <w:tcW w:type="dxa" w:w="2448"/>
          </w:tcPr>
          <w:p>
            <w:pPr>
              <w:spacing w:after="40"/>
            </w:pPr>
            <w:r/>
            <w:r>
              <w:rPr>
                <w:b w:val="0"/>
                <w:i w:val="0"/>
              </w:rPr>
              <w:t>Manager overrides the hours and approves</w:t>
            </w:r>
          </w:p>
        </w:tc>
        <w:tc>
          <w:tcPr>
            <w:tcW w:type="dxa" w:w="2448"/>
          </w:tcPr>
          <w:p>
            <w:pPr>
              <w:spacing w:after="40"/>
            </w:pPr>
            <w:r/>
            <w:r>
              <w:rPr>
                <w:b/>
                <w:i w:val="0"/>
              </w:rPr>
              <w:t>Overridden and approved</w:t>
            </w:r>
          </w:p>
        </w:tc>
        <w:tc>
          <w:tcPr>
            <w:tcW w:type="dxa" w:w="2448"/>
          </w:tcPr>
          <w:p>
            <w:pPr>
              <w:spacing w:after="40"/>
            </w:pPr>
            <w:r/>
            <w:r>
              <w:rPr>
                <w:b w:val="0"/>
                <w:i w:val="0"/>
              </w:rPr>
              <w:t xml:space="preserve">+ </w:t>
            </w:r>
            <w:r>
              <w:rPr>
                <w:b w:val="0"/>
                <w:i/>
              </w:rPr>
              <w:t>Overridden &amp; approved</w:t>
            </w:r>
            <w:r>
              <w:rPr>
                <w:b w:val="0"/>
                <w:i w:val="0"/>
              </w:rPr>
              <w:t>; original value kept in the audit trail</w:t>
            </w:r>
          </w:p>
        </w:tc>
      </w:tr>
      <w:tr>
        <w:tc>
          <w:tcPr>
            <w:tcW w:type="dxa" w:w="2448"/>
          </w:tcPr>
          <w:p>
            <w:pPr>
              <w:spacing w:after="40"/>
            </w:pPr>
            <w:r/>
            <w:r>
              <w:rPr>
                <w:b w:val="0"/>
                <w:i w:val="0"/>
              </w:rPr>
              <w:t>Submitted</w:t>
            </w:r>
          </w:p>
        </w:tc>
        <w:tc>
          <w:tcPr>
            <w:tcW w:type="dxa" w:w="2448"/>
          </w:tcPr>
          <w:p>
            <w:pPr>
              <w:spacing w:after="40"/>
            </w:pPr>
            <w:r/>
            <w:r>
              <w:rPr>
                <w:b/>
                <w:i w:val="0"/>
              </w:rPr>
              <w:t>Delivery cut-off job</w:t>
            </w:r>
            <w:r>
              <w:rPr>
                <w:b w:val="0"/>
                <w:i w:val="0"/>
              </w:rPr>
              <w:t xml:space="preserve"> — manager never decided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MANAGER</w:t>
            </w:r>
            <w:r>
              <w:rPr>
                <w:b w:val="0"/>
                <w:i w:val="0"/>
              </w:rPr>
              <w:t xml:space="preserve">; </w:t>
            </w:r>
            <w:r>
              <w:rPr>
                <w:b/>
                <w:i w:val="0"/>
              </w:rPr>
              <w:t>no lock</w:t>
            </w:r>
          </w:p>
        </w:tc>
      </w:tr>
      <w:tr>
        <w:tc>
          <w:tcPr>
            <w:tcW w:type="dxa" w:w="2448"/>
          </w:tcPr>
          <w:p>
            <w:pPr>
              <w:spacing w:after="40"/>
            </w:pPr>
            <w:r/>
            <w:r>
              <w:rPr>
                <w:b w:val="0"/>
                <w:i w:val="0"/>
              </w:rPr>
              <w:t>Rejected</w:t>
            </w:r>
          </w:p>
        </w:tc>
        <w:tc>
          <w:tcPr>
            <w:tcW w:type="dxa" w:w="2448"/>
          </w:tcPr>
          <w:p>
            <w:pPr>
              <w:spacing w:after="40"/>
            </w:pPr>
            <w:r/>
            <w:r>
              <w:rPr>
                <w:b w:val="0"/>
                <w:i w:val="0"/>
              </w:rPr>
              <w:t>Employee corrects and resubmits</w:t>
            </w:r>
          </w:p>
        </w:tc>
        <w:tc>
          <w:tcPr>
            <w:tcW w:type="dxa" w:w="2448"/>
          </w:tcPr>
          <w:p>
            <w:pPr>
              <w:spacing w:after="40"/>
            </w:pPr>
            <w:r/>
            <w:r>
              <w:rPr>
                <w:b/>
                <w:i w:val="0"/>
              </w:rPr>
              <w:t>Submitted</w:t>
            </w:r>
          </w:p>
        </w:tc>
        <w:tc>
          <w:tcPr>
            <w:tcW w:type="dxa" w:w="2448"/>
          </w:tcPr>
          <w:p>
            <w:pPr>
              <w:spacing w:after="40"/>
            </w:pPr>
            <w:r/>
            <w:r>
              <w:rPr>
                <w:b w:val="0"/>
                <w:i w:val="0"/>
              </w:rPr>
              <w:t xml:space="preserve">every date in it goes back to awaiting a decision; + </w:t>
            </w:r>
            <w:r>
              <w:rPr>
                <w:b w:val="0"/>
                <w:i/>
              </w:rPr>
              <w:t>Late submission</w:t>
            </w:r>
            <w:r>
              <w:rPr>
                <w:b w:val="0"/>
                <w:i w:val="0"/>
              </w:rPr>
              <w:t xml:space="preserve"> if now past the cut-off</w:t>
            </w:r>
          </w:p>
        </w:tc>
      </w:tr>
      <w:tr>
        <w:tc>
          <w:tcPr>
            <w:tcW w:type="dxa" w:w="2448"/>
          </w:tcPr>
          <w:p>
            <w:pPr>
              <w:spacing w:after="40"/>
            </w:pPr>
            <w:r/>
            <w:r>
              <w:rPr>
                <w:b w:val="0"/>
                <w:i w:val="0"/>
              </w:rPr>
              <w:t>Defaulted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rPr>
              <w:t>Defaulted</w:t>
            </w:r>
            <w:r>
              <w:rPr>
                <w:b w:val="0"/>
                <w:i w:val="0"/>
              </w:rPr>
              <w:t xml:space="preserve"> flag </w:t>
            </w:r>
            <w:r>
              <w:rPr>
                <w:b/>
                <w:i w:val="0"/>
              </w:rPr>
              <w:t>kept</w:t>
            </w:r>
            <w:r>
              <w:rPr>
                <w:b w:val="0"/>
                <w:i w:val="0"/>
              </w:rPr>
              <w:t xml:space="preserve"> — it happened</w:t>
            </w:r>
          </w:p>
        </w:tc>
      </w:tr>
      <w:tr>
        <w:tc>
          <w:tcPr>
            <w:tcW w:type="dxa" w:w="2448"/>
          </w:tcPr>
          <w:p>
            <w:pPr>
              <w:spacing w:after="40"/>
            </w:pPr>
            <w:r/>
            <w:r>
              <w:rPr>
                <w:b w:val="0"/>
                <w:i w:val="0"/>
              </w:rPr>
              <w:t>Approved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Rejected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 xml:space="preserve">Approved </w:t>
            </w:r>
            <w:r>
              <w:rPr>
                <w:b w:val="0"/>
                <w:i/>
              </w:rPr>
              <w:t>or</w:t>
            </w:r>
            <w:r>
              <w:rPr>
                <w:b w:val="0"/>
                <w:i w:val="0"/>
              </w:rPr>
              <w:t xml:space="preserve"> Overridden and approved</w:t>
            </w:r>
          </w:p>
        </w:tc>
        <w:tc>
          <w:tcPr>
            <w:tcW w:type="dxa" w:w="2448"/>
          </w:tcPr>
          <w:p>
            <w:pPr>
              <w:spacing w:after="40"/>
            </w:pPr>
            <w:r/>
            <w:r>
              <w:rPr>
                <w:b w:val="0"/>
                <w:i w:val="0"/>
              </w:rPr>
              <w:t>Month confirmed — RULE-020, every week approved</w:t>
            </w:r>
          </w:p>
        </w:tc>
        <w:tc>
          <w:tcPr>
            <w:tcW w:type="dxa" w:w="2448"/>
          </w:tcPr>
          <w:p>
            <w:pPr>
              <w:spacing w:after="40"/>
            </w:pPr>
            <w:r/>
            <w:r>
              <w:rPr>
                <w:b w:val="0"/>
                <w:i w:val="0"/>
              </w:rPr>
              <w:t xml:space="preserve">status </w:t>
            </w:r>
            <w:r>
              <w:rPr>
                <w:b/>
                <w:i w:val="0"/>
              </w:rPr>
              <w:t>unchanged</w:t>
            </w:r>
            <w:r>
              <w:rPr>
                <w:b w:val="0"/>
                <w:i w:val="0"/>
              </w:rPr>
              <w:t xml:space="preserve">; the month is recorded in </w:t>
            </w:r>
            <w:r>
              <w:rPr>
                <w:rFonts w:ascii="Consolas" w:hAnsi="Consolas"/>
                <w:b w:val="0"/>
                <w:i w:val="0"/>
                <w:sz w:val="18"/>
              </w:rPr>
              <w:t>OC_TS_MONTH_CONFIRM</w:t>
            </w:r>
          </w:p>
        </w:tc>
        <w:tc>
          <w:tcPr>
            <w:tcW w:type="dxa" w:w="2448"/>
          </w:tcPr>
          <w:p>
            <w:pPr>
              <w:spacing w:after="40"/>
            </w:pPr>
            <w:r/>
            <w:r>
              <w:rPr>
                <w:b w:val="0"/>
                <w:i w:val="0"/>
              </w:rPr>
              <w:t xml:space="preserve">+ </w:t>
            </w:r>
            <w:r>
              <w:rPr>
                <w:b w:val="0"/>
                <w:i/>
              </w:rPr>
              <w:t>Advance closure</w:t>
            </w:r>
            <w:r>
              <w:rPr>
                <w:b w:val="0"/>
                <w:i w:val="0"/>
              </w:rPr>
              <w:t xml:space="preserve"> if closed ahead of the cut-off</w:t>
            </w:r>
          </w:p>
        </w:tc>
      </w:tr>
    </w:tbl>
    <w:p/>
    <w:p>
      <w:pPr>
        <w:spacing w:before="120" w:after="160"/>
        <w:ind w:left="288"/>
        <w:pBdr>
          <w:left w:val="single" w:sz="18" w:space="8" w:color="D9A53C"/>
        </w:pBdr>
      </w:pPr>
      <w:r>
        <w:rPr>
          <w:b/>
          <w:i w:val="0"/>
          <w:sz w:val="19"/>
        </w:rPr>
        <w:t>Two transitions are easy to miss and both matter.</w:t>
      </w:r>
      <w:r>
        <w:rPr>
          <w:b w:val="0"/>
          <w:i/>
          <w:sz w:val="19"/>
        </w:rPr>
        <w:t>Rejected → Submitted</w:t>
      </w:r>
      <w:r>
        <w:rPr>
          <w:b w:val="0"/>
          <w:i w:val="0"/>
          <w:sz w:val="19"/>
        </w:rPr>
        <w:t xml:space="preserve"> is the correct-and-resubmit loop, and it puts every date back to awaiting a decision — without that reset the approver could not act on it again. </w:t>
      </w:r>
      <w:r>
        <w:rPr>
          <w:b w:val="0"/>
          <w:i/>
          <w:sz w:val="19"/>
        </w:rPr>
        <w:t>Approved → Submitted</w:t>
      </w:r>
      <w:r>
        <w:rPr>
          <w:b w:val="0"/>
          <w:i w:val="0"/>
          <w:sz w:val="19"/>
        </w:rPr>
        <w:t xml:space="preserve"> is a manager undoing their own decision; it deliberately returns to </w:t>
      </w:r>
      <w:r>
        <w:rPr>
          <w:b w:val="0"/>
          <w:i/>
          <w:sz w:val="19"/>
        </w:rPr>
        <w:t>Submitted</w:t>
      </w:r>
      <w:r>
        <w:rPr>
          <w:b w:val="0"/>
          <w:i w:val="0"/>
          <w:sz w:val="19"/>
        </w:rPr>
        <w:t xml:space="preserve"> and never to </w:t>
      </w:r>
      <w:r>
        <w:rPr>
          <w:b w:val="0"/>
          <w:i/>
          <w:sz w:val="19"/>
        </w:rPr>
        <w:t>Not yet submitted</w:t>
      </w:r>
      <w:r>
        <w:rPr>
          <w:b w:val="0"/>
          <w:i w:val="0"/>
          <w:sz w:val="19"/>
        </w:rPr>
        <w:t xml:space="preserve">, because the employee did submit and must not be made to send it again. </w:t>
      </w:r>
    </w:p>
    <w:p>
      <w:r>
        <w:rPr>
          <w:b/>
          <w:i w:val="0"/>
          <w:color w:val="55657A"/>
        </w:rPr>
        <w:t>The same transitions serve a single day.</w:t>
      </w:r>
      <w:r>
        <w:rPr>
          <w:b w:val="0"/>
          <w:i w:val="0"/>
          <w:color w:val="55657A"/>
        </w:rPr>
        <w:t xml:space="preserve"> Approving, rejecting or undoing one date uses the rows above — there is no separate day scheme. Two consequences follow from the day and the week sharing them: when every day is approved the week becomes </w:t>
      </w:r>
      <w:r>
        <w:rPr>
          <w:b w:val="0"/>
          <w:i/>
          <w:color w:val="55657A"/>
        </w:rPr>
        <w:t>Approved</w:t>
      </w:r>
      <w:r>
        <w:rPr>
          <w:b w:val="0"/>
          <w:i w:val="0"/>
          <w:color w:val="55657A"/>
        </w:rPr>
        <w:t xml:space="preserve">, and any rejected day makes the week </w:t>
      </w:r>
      <w:r>
        <w:rPr>
          <w:b w:val="0"/>
          <w:i/>
          <w:color w:val="55657A"/>
        </w:rPr>
        <w:t>Rejected</w:t>
      </w:r>
      <w:r>
        <w:rPr>
          <w:b w:val="0"/>
          <w:i w:val="0"/>
          <w:color w:val="55657A"/>
        </w:rPr>
        <w:t xml:space="preserve"> and sends it back. Undoing a day decision recomputes the week from the days that remain.</w:t>
      </w:r>
    </w:p>
    <w:p>
      <w:pPr>
        <w:pStyle w:val="Heading2"/>
      </w:pPr>
      <w:r>
        <w:t>7.3 Outbound — order and grain</w:t>
      </w:r>
    </w:p>
    <w:p>
      <w:r>
        <w:rPr>
          <w:b w:val="0"/>
          <w:i w:val="0"/>
        </w:rPr>
        <w:t>Month confirmation is the single trigger. The two live destinations take different grains, and the accrual pair has an order that is not optional.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Destination</w:t>
            </w:r>
          </w:p>
        </w:tc>
        <w:tc>
          <w:tcPr>
            <w:tcW w:type="dxa" w:w="2448"/>
            <w:shd w:val="clear" w:fill="F1F3F6"/>
          </w:tcPr>
          <w:p>
            <w:pPr>
              <w:spacing w:after="40"/>
            </w:pPr>
            <w:r/>
            <w:r>
              <w:rPr>
                <w:b/>
                <w:i w:val="0"/>
              </w:rPr>
              <w:t>Grain</w:t>
            </w:r>
          </w:p>
        </w:tc>
        <w:tc>
          <w:tcPr>
            <w:tcW w:type="dxa" w:w="2448"/>
            <w:shd w:val="clear" w:fill="F1F3F6"/>
          </w:tcPr>
          <w:p>
            <w:pPr>
              <w:spacing w:after="40"/>
            </w:pPr>
            <w:r/>
            <w:r>
              <w:rPr>
                <w:b/>
                <w:i w:val="0"/>
              </w:rPr>
              <w:t>Notes</w:t>
            </w:r>
          </w:p>
        </w:tc>
      </w:tr>
      <w:tr>
        <w:tc>
          <w:tcPr>
            <w:tcW w:type="dxa" w:w="2448"/>
          </w:tcPr>
          <w:p>
            <w:pPr>
              <w:spacing w:after="40"/>
            </w:pPr>
            <w:r/>
            <w:r>
              <w:rPr>
                <w:b w:val="0"/>
                <w:i w:val="0"/>
              </w:rPr>
              <w:t>1</w:t>
            </w:r>
          </w:p>
        </w:tc>
        <w:tc>
          <w:tcPr>
            <w:tcW w:type="dxa" w:w="2448"/>
          </w:tcPr>
          <w:p>
            <w:pPr>
              <w:spacing w:after="40"/>
            </w:pPr>
            <w:r/>
            <w:r>
              <w:rPr>
                <w:b/>
                <w:i w:val="0"/>
              </w:rPr>
              <w:t>Project Costing</w:t>
            </w:r>
            <w:r>
              <w:br/>
            </w:r>
            <w:r>
              <w:rPr>
                <w:rFonts w:ascii="Consolas" w:hAnsi="Consolas"/>
                <w:b w:val="0"/>
                <w:i w:val="0"/>
                <w:sz w:val="18"/>
              </w:rPr>
              <w:t>POST unprocessedProjectCosts</w:t>
            </w:r>
          </w:p>
        </w:tc>
        <w:tc>
          <w:tcPr>
            <w:tcW w:type="dxa" w:w="2448"/>
          </w:tcPr>
          <w:p>
            <w:pPr>
              <w:spacing w:after="40"/>
            </w:pPr>
            <w:r/>
            <w:r>
              <w:rPr>
                <w:b w:val="0"/>
                <w:i w:val="0"/>
              </w:rPr>
              <w:t xml:space="preserve">one row per </w:t>
            </w:r>
            <w:r>
              <w:rPr>
                <w:b/>
                <w:i w:val="0"/>
              </w:rPr>
              <w:t>approved entry</w:t>
            </w:r>
          </w:p>
        </w:tc>
        <w:tc>
          <w:tcPr>
            <w:tcW w:type="dxa" w:w="2448"/>
          </w:tcPr>
          <w:p>
            <w:pPr>
              <w:spacing w:after="40"/>
            </w:pPr>
            <w:r/>
            <w:r>
              <w:rPr>
                <w:b w:val="0"/>
                <w:i w:val="0"/>
              </w:rPr>
              <w:t xml:space="preserve">POET in the flexfield block; our entry id as </w:t>
            </w:r>
            <w:r>
              <w:rPr>
                <w:rFonts w:ascii="Consolas" w:hAnsi="Consolas"/>
                <w:b w:val="0"/>
                <w:i w:val="0"/>
                <w:sz w:val="18"/>
              </w:rPr>
              <w:t>OriginalTransactionReference</w:t>
            </w:r>
            <w:r>
              <w:rPr>
                <w:b w:val="0"/>
                <w:i w:val="0"/>
              </w:rPr>
              <w:t xml:space="preserve">, which is the idempotency key. </w:t>
            </w:r>
            <w:r>
              <w:rPr>
                <w:rFonts w:ascii="Consolas" w:hAnsi="Consolas"/>
                <w:b w:val="0"/>
                <w:i w:val="0"/>
                <w:sz w:val="18"/>
              </w:rPr>
              <w:t>IS_LEAVE = 'Y'</w:t>
            </w:r>
            <w:r>
              <w:rPr>
                <w:b w:val="0"/>
                <w:i w:val="0"/>
              </w:rPr>
              <w:t xml:space="preserve"> excluded. Fusion’s </w:t>
            </w:r>
            <w:r>
              <w:rPr>
                <w:b w:val="0"/>
                <w:i/>
              </w:rPr>
              <w:t>Import Costs</w:t>
            </w:r>
            <w:r>
              <w:rPr>
                <w:b w:val="0"/>
                <w:i w:val="0"/>
              </w:rPr>
              <w:t xml:space="preserve"> then converts them.</w:t>
            </w:r>
          </w:p>
        </w:tc>
      </w:tr>
      <w:tr>
        <w:tc>
          <w:tcPr>
            <w:tcW w:type="dxa" w:w="2448"/>
          </w:tcPr>
          <w:p>
            <w:pPr>
              <w:spacing w:after="40"/>
            </w:pPr>
            <w:r/>
            <w:r>
              <w:rPr>
                <w:b w:val="0"/>
                <w:i w:val="0"/>
              </w:rPr>
              <w:t>2</w:t>
            </w:r>
          </w:p>
        </w:tc>
        <w:tc>
          <w:tcPr>
            <w:tcW w:type="dxa" w:w="2448"/>
          </w:tcPr>
          <w:p>
            <w:pPr>
              <w:spacing w:after="40"/>
            </w:pPr>
            <w:r/>
            <w:r>
              <w:rPr>
                <w:b/>
                <w:i w:val="0"/>
              </w:rPr>
              <w:t>Accrual staging table</w:t>
            </w:r>
            <w:r>
              <w:br/>
            </w:r>
            <w:r>
              <w:rPr>
                <w:b w:val="0"/>
                <w:i w:val="0"/>
              </w:rPr>
              <w:t>in our schema; accrual pulls</w:t>
            </w:r>
          </w:p>
        </w:tc>
        <w:tc>
          <w:tcPr>
            <w:tcW w:type="dxa" w:w="2448"/>
          </w:tcPr>
          <w:p>
            <w:pPr>
              <w:spacing w:after="40"/>
            </w:pPr>
            <w:r/>
            <w:r>
              <w:rPr>
                <w:b w:val="0"/>
                <w:i w:val="0"/>
              </w:rPr>
              <w:t xml:space="preserve">three record kinds together: the </w:t>
            </w:r>
            <w:r>
              <w:rPr>
                <w:b/>
                <w:i w:val="0"/>
              </w:rPr>
              <w:t>summary</w:t>
            </w:r>
            <w:r>
              <w:rPr>
                <w:b w:val="0"/>
                <w:i w:val="0"/>
              </w:rPr>
              <w:t xml:space="preserve">, the </w:t>
            </w:r>
            <w:r>
              <w:rPr>
                <w:b/>
                <w:i w:val="0"/>
              </w:rPr>
              <w:t>complete timesheet employee-wise</w:t>
            </w:r>
            <w:r>
              <w:rPr>
                <w:b w:val="0"/>
                <w:i w:val="0"/>
              </w:rPr>
              <w:t xml:space="preserve">, and </w:t>
            </w:r>
            <w:r>
              <w:rPr>
                <w:b/>
                <w:i w:val="0"/>
              </w:rPr>
              <w:t>adjustments</w:t>
            </w:r>
            <w:r>
              <w:rPr>
                <w:b w:val="0"/>
                <w:i w:val="0"/>
              </w:rPr>
              <w:t xml:space="preserve"> if any</w:t>
            </w:r>
          </w:p>
        </w:tc>
        <w:tc>
          <w:tcPr>
            <w:tcW w:type="dxa" w:w="2448"/>
          </w:tcPr>
          <w:p>
            <w:pPr>
              <w:spacing w:after="40"/>
            </w:pPr>
            <w:r/>
            <w:r>
              <w:rPr>
                <w:b w:val="0"/>
                <w:i w:val="0"/>
              </w:rPr>
              <w:t xml:space="preserve">We fill it on month confirm; the accrual module reads it. Nothing is written into accrual’s own tables. </w:t>
            </w:r>
            <w:r>
              <w:rPr>
                <w:b/>
                <w:i w:val="0"/>
              </w:rPr>
              <w:t>The structure is being defined on the accrual side and is not final</w:t>
            </w:r>
            <w:r>
              <w:rPr>
                <w:b w:val="0"/>
                <w:i w:val="0"/>
              </w:rPr>
              <w:t xml:space="preserve"> — open item 19. See also the note in 3.5 on whether this is one interface or two.</w:t>
            </w:r>
          </w:p>
        </w:tc>
      </w:tr>
      <w:tr>
        <w:tc>
          <w:tcPr>
            <w:tcW w:type="dxa" w:w="2448"/>
          </w:tcPr>
          <w:p>
            <w:pPr>
              <w:spacing w:after="40"/>
            </w:pPr>
            <w:r/>
            <w:r>
              <w:rPr>
                <w:b w:val="0"/>
                <w:i w:val="0"/>
              </w:rPr>
              <w:t>—</w:t>
            </w:r>
          </w:p>
        </w:tc>
        <w:tc>
          <w:tcPr>
            <w:tcW w:type="dxa" w:w="2448"/>
          </w:tcPr>
          <w:p>
            <w:pPr>
              <w:spacing w:after="40"/>
            </w:pPr>
            <w:r/>
            <w:r>
              <w:rPr>
                <w:b w:val="0"/>
                <w:i w:val="0"/>
              </w:rPr>
              <w:t>OTL push</w:t>
            </w:r>
          </w:p>
        </w:tc>
        <w:tc>
          <w:tcPr>
            <w:tcW w:type="dxa" w:w="2448"/>
          </w:tcPr>
          <w:p>
            <w:pPr>
              <w:spacing w:after="40"/>
            </w:pPr>
            <w:r/>
            <w:r>
              <w:rPr>
                <w:b w:val="0"/>
                <w:i w:val="0"/>
              </w:rPr>
              <w:t>—</w:t>
            </w:r>
          </w:p>
        </w:tc>
        <w:tc>
          <w:tcPr>
            <w:tcW w:type="dxa" w:w="2448"/>
          </w:tcPr>
          <w:p>
            <w:pPr>
              <w:spacing w:after="40"/>
            </w:pPr>
            <w:r/>
            <w:r>
              <w:rPr>
                <w:b/>
                <w:i w:val="0"/>
              </w:rPr>
              <w:t>On hold</w:t>
            </w:r>
            <w:r>
              <w:rPr>
                <w:b w:val="0"/>
                <w:i w:val="0"/>
              </w:rPr>
              <w:t>, nothing sent. Costing does not route through OTL, so time still reaches Project Costing while the independence decision is open.</w:t>
            </w:r>
          </w:p>
        </w:tc>
      </w:tr>
      <w:tr>
        <w:tc>
          <w:tcPr>
            <w:tcW w:type="dxa" w:w="2448"/>
          </w:tcPr>
          <w:p>
            <w:pPr>
              <w:spacing w:after="40"/>
            </w:pPr>
            <w:r/>
            <w:r>
              <w:rPr>
                <w:b w:val="0"/>
                <w:i w:val="0"/>
              </w:rPr>
              <w:t>—</w:t>
            </w:r>
          </w:p>
        </w:tc>
        <w:tc>
          <w:tcPr>
            <w:tcW w:type="dxa" w:w="2448"/>
          </w:tcPr>
          <w:p>
            <w:pPr>
              <w:spacing w:after="40"/>
            </w:pPr>
            <w:r/>
            <w:r>
              <w:rPr>
                <w:b w:val="0"/>
                <w:i w:val="0"/>
              </w:rPr>
              <w:t>Payroll</w:t>
            </w:r>
          </w:p>
        </w:tc>
        <w:tc>
          <w:tcPr>
            <w:tcW w:type="dxa" w:w="2448"/>
          </w:tcPr>
          <w:p>
            <w:pPr>
              <w:spacing w:after="40"/>
            </w:pPr>
            <w:r/>
            <w:r>
              <w:rPr>
                <w:b w:val="0"/>
                <w:i w:val="0"/>
              </w:rPr>
              <w:t>—</w:t>
            </w:r>
          </w:p>
        </w:tc>
        <w:tc>
          <w:tcPr>
            <w:tcW w:type="dxa" w:w="2448"/>
          </w:tcPr>
          <w:p>
            <w:pPr>
              <w:spacing w:after="40"/>
            </w:pPr>
            <w:r/>
            <w:r>
              <w:rPr>
                <w:b/>
                <w:i w:val="0"/>
              </w:rPr>
              <w:t>Out of scope.</w:t>
            </w:r>
          </w:p>
        </w:tc>
      </w:tr>
    </w:tbl>
    <w:p/>
    <w:p>
      <w:r>
        <w:rPr>
          <w:b w:val="0"/>
          <w:i w:val="0"/>
          <w:color w:val="55657A"/>
        </w:rPr>
        <w:t xml:space="preserve">A </w:t>
      </w:r>
      <w:r>
        <w:rPr>
          <w:b w:val="0"/>
          <w:i/>
          <w:color w:val="55657A"/>
        </w:rPr>
        <w:t>Defaulted</w:t>
      </w:r>
      <w:r>
        <w:rPr>
          <w:b w:val="0"/>
          <w:i w:val="0"/>
          <w:color w:val="55657A"/>
        </w:rPr>
        <w:t xml:space="preserve"> week currently blocks confirmation, because RULE-020 requires every week to be approved. Advance closure is the stated exception — open item 11.</w:t>
      </w:r>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