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Direct Fusion calls from the browser</w:t>
      </w:r>
      <w:r>
        <w:rPr>
          <w:b w:val="0"/>
          <w:i w:val="0"/>
        </w:rPr>
        <w:t xml:space="preserve"> with credentials in the client (NFR-005). All Fusion traffic is server-side or proxied.</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 — one set, one flow</w:t>
      </w:r>
    </w:p>
    <w:p>
      <w:r>
        <w:rPr>
          <w:b/>
          <w:i w:val="0"/>
        </w:rPr>
        <w:t>Six statuses, and the same six everywhere.</w:t>
      </w:r>
      <w:r>
        <w:rPr>
          <w:b w:val="0"/>
          <w:i w:val="0"/>
        </w:rPr>
        <w:t xml:space="preserve"> There is not a separate scheme for a day, a week and a month — whichever you are looking at, it is in exactly one of these.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Status</w:t>
            </w:r>
          </w:p>
        </w:tc>
        <w:tc>
          <w:tcPr>
            <w:tcW w:type="dxa" w:w="4896"/>
            <w:shd w:val="clear" w:fill="F1F3F6"/>
          </w:tcPr>
          <w:p>
            <w:pPr>
              <w:spacing w:after="40"/>
            </w:pPr>
            <w:r/>
            <w:r>
              <w:rPr>
                <w:b/>
                <w:i w:val="0"/>
              </w:rPr>
              <w:t>Means</w:t>
            </w:r>
          </w:p>
        </w:tc>
      </w:tr>
      <w:tr>
        <w:tc>
          <w:tcPr>
            <w:tcW w:type="dxa" w:w="4896"/>
          </w:tcPr>
          <w:p>
            <w:pPr>
              <w:spacing w:after="40"/>
            </w:pPr>
            <w:r/>
            <w:r>
              <w:rPr>
                <w:b/>
                <w:i w:val="0"/>
              </w:rPr>
              <w:t>Not yet submitted</w:t>
            </w:r>
          </w:p>
        </w:tc>
        <w:tc>
          <w:tcPr>
            <w:tcW w:type="dxa" w:w="4896"/>
          </w:tcPr>
          <w:p>
            <w:pPr>
              <w:spacing w:after="40"/>
            </w:pPr>
            <w:r/>
            <w:r>
              <w:rPr>
                <w:b w:val="0"/>
                <w:i w:val="0"/>
              </w:rPr>
              <w:t>with the employee; still theirs to change</w:t>
            </w:r>
          </w:p>
        </w:tc>
      </w:tr>
      <w:tr>
        <w:tc>
          <w:tcPr>
            <w:tcW w:type="dxa" w:w="4896"/>
          </w:tcPr>
          <w:p>
            <w:pPr>
              <w:spacing w:after="40"/>
            </w:pPr>
            <w:r/>
            <w:r>
              <w:rPr>
                <w:b/>
                <w:i w:val="0"/>
              </w:rPr>
              <w:t>Submitted</w:t>
            </w:r>
          </w:p>
        </w:tc>
        <w:tc>
          <w:tcPr>
            <w:tcW w:type="dxa" w:w="4896"/>
          </w:tcPr>
          <w:p>
            <w:pPr>
              <w:spacing w:after="40"/>
            </w:pPr>
            <w:r/>
            <w:r>
              <w:rPr>
                <w:b w:val="0"/>
                <w:i w:val="0"/>
              </w:rPr>
              <w:t>with the manager, awaiting a decision; frozen to the employee</w:t>
            </w:r>
          </w:p>
        </w:tc>
      </w:tr>
      <w:tr>
        <w:tc>
          <w:tcPr>
            <w:tcW w:type="dxa" w:w="4896"/>
          </w:tcPr>
          <w:p>
            <w:pPr>
              <w:spacing w:after="40"/>
            </w:pPr>
            <w:r/>
            <w:r>
              <w:rPr>
                <w:b/>
                <w:i w:val="0"/>
              </w:rPr>
              <w:t>Approved</w:t>
            </w:r>
          </w:p>
        </w:tc>
        <w:tc>
          <w:tcPr>
            <w:tcW w:type="dxa" w:w="4896"/>
          </w:tcPr>
          <w:p>
            <w:pPr>
              <w:spacing w:after="40"/>
            </w:pPr>
            <w:r/>
            <w:r>
              <w:rPr>
                <w:b w:val="0"/>
                <w:i w:val="0"/>
              </w:rPr>
              <w:t>decided and accepted</w:t>
            </w:r>
          </w:p>
        </w:tc>
      </w:tr>
      <w:tr>
        <w:tc>
          <w:tcPr>
            <w:tcW w:type="dxa" w:w="4896"/>
          </w:tcPr>
          <w:p>
            <w:pPr>
              <w:spacing w:after="40"/>
            </w:pPr>
            <w:r/>
            <w:r>
              <w:rPr>
                <w:b/>
                <w:i w:val="0"/>
              </w:rPr>
              <w:t>Rejected</w:t>
            </w:r>
          </w:p>
        </w:tc>
        <w:tc>
          <w:tcPr>
            <w:tcW w:type="dxa" w:w="4896"/>
          </w:tcPr>
          <w:p>
            <w:pPr>
              <w:spacing w:after="40"/>
            </w:pPr>
            <w:r/>
            <w:r>
              <w:rPr>
                <w:b w:val="0"/>
                <w:i w:val="0"/>
              </w:rPr>
              <w:t>sent back with a reason; with the employee again</w:t>
            </w:r>
          </w:p>
        </w:tc>
      </w:tr>
      <w:tr>
        <w:tc>
          <w:tcPr>
            <w:tcW w:type="dxa" w:w="4896"/>
          </w:tcPr>
          <w:p>
            <w:pPr>
              <w:spacing w:after="40"/>
            </w:pPr>
            <w:r/>
            <w:r>
              <w:rPr>
                <w:b/>
                <w:i w:val="0"/>
              </w:rPr>
              <w:t>Defaulted</w:t>
            </w:r>
          </w:p>
        </w:tc>
        <w:tc>
          <w:tcPr>
            <w:tcW w:type="dxa" w:w="4896"/>
          </w:tcPr>
          <w:p>
            <w:pPr>
              <w:spacing w:after="40"/>
            </w:pPr>
            <w:r/>
            <w:r>
              <w:rPr>
                <w:b w:val="0"/>
                <w:i w:val="0"/>
              </w:rPr>
              <w:t>a cut-off filled it in because nobody did</w:t>
            </w:r>
          </w:p>
        </w:tc>
      </w:tr>
      <w:tr>
        <w:tc>
          <w:tcPr>
            <w:tcW w:type="dxa" w:w="4896"/>
          </w:tcPr>
          <w:p>
            <w:pPr>
              <w:spacing w:after="40"/>
            </w:pPr>
            <w:r/>
            <w:r>
              <w:rPr>
                <w:b/>
                <w:i w:val="0"/>
              </w:rPr>
              <w:t>Overridden and approved</w:t>
            </w:r>
          </w:p>
        </w:tc>
        <w:tc>
          <w:tcPr>
            <w:tcW w:type="dxa" w:w="4896"/>
          </w:tcPr>
          <w:p>
            <w:pPr>
              <w:spacing w:after="40"/>
            </w:pPr>
            <w:r/>
            <w:r>
              <w:rPr>
                <w:b w:val="0"/>
                <w:i w:val="0"/>
              </w:rPr>
              <w:t>the manager changed the hours and accepted them</w:t>
            </w:r>
          </w:p>
        </w:tc>
      </w:tr>
    </w:tbl>
    <w:p/>
    <w:p>
      <w:r>
        <w:rPr>
          <w:b w:val="0"/>
          <w:i w:val="0"/>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pPr>
        <w:spacing w:before="120" w:after="160"/>
        <w:ind w:left="288"/>
        <w:pBdr>
          <w:left w:val="single" w:sz="18" w:space="8" w:color="D9A53C"/>
        </w:pBdr>
      </w:pPr>
      <w:r>
        <w:rPr>
          <w:b/>
          <w:i w:val="0"/>
          <w:sz w:val="19"/>
        </w:rPr>
        <w:t>Month confirmation is not a seventh status.</w:t>
      </w:r>
      <w:r>
        <w:rPr>
          <w:b w:val="0"/>
          <w:i w:val="0"/>
          <w:sz w:val="19"/>
        </w:rPr>
        <w:t xml:space="preserve"> Confirming a month is an event, recorded once in </w:t>
      </w:r>
      <w:r>
        <w:rPr>
          <w:rFonts w:ascii="Consolas" w:hAnsi="Consolas"/>
          <w:b w:val="0"/>
          <w:i w:val="0"/>
          <w:sz w:val="19"/>
        </w:rPr>
        <w:t>OC_TS_MONTH_CONFIRM</w:t>
      </w:r>
      <w:r>
        <w:rPr>
          <w:b w:val="0"/>
          <w:i w:val="0"/>
          <w:sz w:val="19"/>
        </w:rPr>
        <w:t xml:space="preserve"> together with how it was confirmed — normally, as an advance closure, or after being reopened. It leaves the weeks </w:t>
      </w:r>
      <w:r>
        <w:rPr>
          <w:b w:val="0"/>
          <w:i/>
          <w:sz w:val="19"/>
        </w:rPr>
        <w:t>Approved</w:t>
      </w:r>
      <w:r>
        <w:rPr>
          <w:b w:val="0"/>
          <w:i w:val="0"/>
          <w:sz w:val="19"/>
        </w:rPr>
        <w:t xml:space="preserve">. Anything needing to know whether a month has gone out should ask that table, not read it off a status. </w:t>
      </w:r>
      <w:r>
        <w:rPr>
          <w:sz w:val="19"/>
        </w:rPr>
        <w:br/>
      </w:r>
      <w:r>
        <w:rPr>
          <w:sz w:val="19"/>
        </w:rPr>
        <w:br/>
      </w:r>
      <w:r>
        <w:rPr>
          <w:b/>
          <w:i w:val="0"/>
          <w:sz w:val="19"/>
        </w:rPr>
        <w:t>“Closed” is gone.</w:t>
      </w:r>
      <w:r>
        <w:rPr>
          <w:b w:val="0"/>
          <w:i w:val="0"/>
          <w:sz w:val="19"/>
        </w:rPr>
        <w:t xml:space="preserve"> The model ends at </w:t>
      </w:r>
      <w:r>
        <w:rPr>
          <w:b w:val="0"/>
          <w:i/>
          <w:sz w:val="19"/>
        </w:rPr>
        <w:t>Approved</w:t>
      </w:r>
      <w:r>
        <w:rPr>
          <w:b w:val="0"/>
          <w:i w:val="0"/>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i w:val="0"/>
          <w:sz w:val="19"/>
        </w:rPr>
        <w:t>The schema still holds these separately.</w:t>
      </w:r>
      <w:r>
        <w:rPr>
          <w:b w:val="0"/>
          <w:i w:val="0"/>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b w:val="0"/>
          <w:i/>
          <w:sz w:val="19"/>
        </w:rPr>
        <w:t>schema</w:t>
      </w:r>
      <w:r>
        <w:rPr>
          <w:b w:val="0"/>
          <w:i w:val="0"/>
          <w:sz w:val="19"/>
        </w:rPr>
        <w:t xml:space="preserve"> agree with it is a separate change — open item 21.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Any number apply at once, and a record is never </w:t>
      </w:r>
      <w:r>
        <w:rPr>
          <w:b w:val="0"/>
          <w:i/>
        </w:rPr>
        <w:t>in</w:t>
      </w:r>
      <w:r>
        <w:rPr>
          <w:b w:val="0"/>
          <w:i w:val="0"/>
        </w:rPr>
        <w:t xml:space="preserve"> a flag.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and the diagram in 7 shows which event raises each. There is no separate “Locked” flag — locking is what a submitter-side </w:t>
      </w:r>
      <w:r>
        <w:rPr>
          <w:b w:val="0"/>
          <w:i/>
          <w:color w:val="55657A"/>
        </w:rPr>
        <w:t>Defaulted</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t>
      </w:r>
      <w:r>
        <w:rPr>
          <w:b/>
          <w:i w:val="0"/>
        </w:rPr>
        <w:t>status</w:t>
      </w:r>
      <w:r>
        <w:rPr>
          <w:b w:val="0"/>
          <w:i w:val="0"/>
        </w:rPr>
        <w:t xml:space="preserve"> and as a </w:t>
      </w:r>
      <w:r>
        <w:rPr>
          <w:b/>
          <w:i w:val="0"/>
        </w:rPr>
        <w:t>flag</w:t>
      </w:r>
      <w:r>
        <w:rPr>
          <w:b w:val="0"/>
          <w:i w:val="0"/>
        </w:rPr>
        <w:t xml:space="preserve">. The status says what it is now; the flag says it happened at all and survives a later transition — something defaulted and then approved reads </w:t>
      </w:r>
      <w:r>
        <w:rPr>
          <w:rFonts w:ascii="Consolas" w:hAnsi="Consolas"/>
          <w:b w:val="0"/>
          <w:i w:val="0"/>
          <w:sz w:val="18"/>
        </w:rPr>
        <w:t>Approved</w:t>
      </w:r>
      <w:r>
        <w:rPr>
          <w:b w:val="0"/>
          <w:i w:val="0"/>
        </w:rPr>
        <w:t xml:space="preserve"> with the defaulted flag still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it is stored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status and all six flags for a week,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b w:val="0"/>
                <w:i w:val="0"/>
              </w:rPr>
              <w:t xml:space="preserve">status for a single date, from the same set;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A staging table in our own schema that the accrual module pulls from.</w:t>
            </w:r>
            <w:r>
              <w:rPr>
                <w:b w:val="0"/>
                <w:i w:val="0"/>
              </w:rPr>
              <w:t xml:space="preserve"> It holds three things for a confirmed month: the </w:t>
            </w:r>
            <w:r>
              <w:rPr>
                <w:b/>
                <w:i w:val="0"/>
              </w:rPr>
              <w:t>summary</w:t>
            </w:r>
            <w:r>
              <w:rPr>
                <w:b w:val="0"/>
                <w:i w:val="0"/>
              </w:rPr>
              <w:t xml:space="preserve">, the </w:t>
            </w:r>
            <w:r>
              <w:rPr>
                <w:b/>
                <w:i w:val="0"/>
              </w:rPr>
              <w:t>complete timesheet employee-wise</w:t>
            </w:r>
            <w:r>
              <w:rPr>
                <w:b w:val="0"/>
                <w:i w:val="0"/>
              </w:rPr>
              <w:t xml:space="preserve">, and </w:t>
            </w:r>
            <w:r>
              <w:rPr>
                <w:b/>
                <w:i w:val="0"/>
              </w:rPr>
              <w:t>any adjustments</w:t>
            </w:r>
            <w:r>
              <w:rPr>
                <w:b w:val="0"/>
                <w:i w:val="0"/>
              </w:rPr>
              <w:t>. We write it; accrual reads it. Nothing is pushed into accrual’s tables.</w:t>
            </w:r>
          </w:p>
        </w:tc>
        <w:tc>
          <w:tcPr>
            <w:tcW w:type="dxa" w:w="3264"/>
          </w:tcPr>
          <w:p>
            <w:pPr>
              <w:spacing w:after="40"/>
            </w:pPr>
            <w:r/>
            <w:r>
              <w:rPr>
                <w:b/>
                <w:i w:val="0"/>
              </w:rPr>
              <w:t>Structure pending.</w:t>
            </w:r>
            <w:r>
              <w:rPr>
                <w:b w:val="0"/>
                <w:i w:val="0"/>
              </w:rPr>
              <w:t xml:space="preserve"> The accrual side is defining the shape and that work is in progress, so the columns are not fixed yet. The direct push that previously occupied this column is superseded — see the note below.</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spacing w:before="120" w:after="160"/>
        <w:ind w:left="288"/>
        <w:pBdr>
          <w:left w:val="single" w:sz="18" w:space="8" w:color="D9A53C"/>
        </w:pBdr>
      </w:pPr>
      <w:r>
        <w:rPr>
          <w:b/>
          <w:i w:val="0"/>
          <w:sz w:val="19"/>
        </w:rPr>
        <w:t>This replaces a push with a pull, and most of it already exists.</w:t>
      </w:r>
      <w:r>
        <w:rPr>
          <w:rFonts w:ascii="Consolas" w:hAnsi="Consolas"/>
          <w:b w:val="0"/>
          <w:i w:val="0"/>
          <w:sz w:val="19"/>
        </w:rPr>
        <w:t>PARTNER_STATUS</w:t>
      </w:r>
      <w:r>
        <w:rPr>
          <w:b w:val="0"/>
          <w:i w:val="0"/>
          <w:sz w:val="19"/>
        </w:rPr>
        <w:t xml:space="preserve"> used to track a direct hand-off that wrote into the main O2C application’s accrual tables. That is superseded: accrual will pull from a table in our schema instead. </w:t>
      </w:r>
      <w:r>
        <w:rPr>
          <w:sz w:val="19"/>
        </w:rPr>
        <w:br/>
      </w:r>
      <w:r>
        <w:rPr>
          <w:sz w:val="19"/>
        </w:rPr>
        <w:br/>
      </w:r>
      <w:r>
        <w:rPr>
          <w:b w:val="0"/>
          <w:i w:val="0"/>
          <w:sz w:val="19"/>
        </w:rPr>
        <w:t xml:space="preserve"> Worth knowing before the structure is agreed — the interface behind </w:t>
      </w:r>
      <w:r>
        <w:rPr>
          <w:rFonts w:ascii="Consolas" w:hAnsi="Consolas"/>
          <w:b w:val="0"/>
          <w:i w:val="0"/>
          <w:sz w:val="19"/>
        </w:rPr>
        <w:t>ACCRUAL_STATUS</w:t>
      </w:r>
      <w:r>
        <w:rPr>
          <w:b w:val="0"/>
          <w:i w:val="0"/>
          <w:sz w:val="19"/>
        </w:rPr>
        <w:t xml:space="preserve"> is </w:t>
      </w:r>
      <w:r>
        <w:rPr>
          <w:b/>
          <w:i w:val="0"/>
          <w:sz w:val="19"/>
        </w:rPr>
        <w:t>already</w:t>
      </w:r>
      <w:r>
        <w:rPr>
          <w:b w:val="0"/>
          <w:i w:val="0"/>
          <w:sz w:val="19"/>
        </w:rPr>
        <w:t xml:space="preserve"> a pull, already day-wise and never rolled up, already carries the </w:t>
      </w:r>
      <w:r>
        <w:rPr>
          <w:b w:val="0"/>
          <w:i/>
          <w:sz w:val="19"/>
        </w:rPr>
        <w:t>Reversal</w:t>
      </w:r>
      <w:r>
        <w:rPr>
          <w:b w:val="0"/>
          <w:i w:val="0"/>
          <w:sz w:val="19"/>
        </w:rPr>
        <w:t xml:space="preserve"> and </w:t>
      </w:r>
      <w:r>
        <w:rPr>
          <w:b w:val="0"/>
          <w:i/>
          <w:sz w:val="19"/>
        </w:rPr>
        <w:t>Adjustment</w:t>
      </w:r>
      <w:r>
        <w:rPr>
          <w:b w:val="0"/>
          <w:i w:val="0"/>
          <w:sz w:val="19"/>
        </w:rPr>
        <w:t xml:space="preserve"> rows with a link back to the adjustment they came from, and already has the claim-a-batch-once bookkeeping a puller needs. So of the three things required, the </w:t>
      </w:r>
      <w:r>
        <w:rPr>
          <w:b/>
          <w:i w:val="0"/>
          <w:sz w:val="19"/>
        </w:rPr>
        <w:t>complete timesheet</w:t>
      </w:r>
      <w:r>
        <w:rPr>
          <w:b w:val="0"/>
          <w:i w:val="0"/>
          <w:sz w:val="19"/>
        </w:rPr>
        <w:t xml:space="preserve"> and the </w:t>
      </w:r>
      <w:r>
        <w:rPr>
          <w:b/>
          <w:i w:val="0"/>
          <w:sz w:val="19"/>
        </w:rPr>
        <w:t>adjustments</w:t>
      </w:r>
      <w:r>
        <w:rPr>
          <w:b w:val="0"/>
          <w:i w:val="0"/>
          <w:sz w:val="19"/>
        </w:rPr>
        <w:t xml:space="preserve"> are in place in some form. The genuine gap is the </w:t>
      </w:r>
      <w:r>
        <w:rPr>
          <w:b/>
          <w:i w:val="0"/>
          <w:sz w:val="19"/>
        </w:rPr>
        <w:t>summary grain</w:t>
      </w:r>
      <w:r>
        <w:rPr>
          <w:b w:val="0"/>
          <w:i w:val="0"/>
          <w:sz w:val="19"/>
        </w:rPr>
        <w:t xml:space="preserve"> — that table holds day rows only. </w:t>
      </w:r>
      <w:r>
        <w:rPr>
          <w:sz w:val="19"/>
        </w:rPr>
        <w:br/>
      </w:r>
      <w:r>
        <w:rPr>
          <w:sz w:val="19"/>
        </w:rPr>
        <w:br/>
      </w:r>
      <w:r>
        <w:rPr>
          <w:b w:val="0"/>
          <w:i w:val="0"/>
          <w:sz w:val="19"/>
        </w:rPr>
        <w:t xml:space="preserve"> Which raises the question to settle </w:t>
      </w:r>
      <w:r>
        <w:rPr>
          <w:b w:val="0"/>
          <w:i/>
          <w:sz w:val="19"/>
        </w:rPr>
        <w:t>before</w:t>
      </w:r>
      <w:r>
        <w:rPr>
          <w:b w:val="0"/>
          <w:i w:val="0"/>
          <w:sz w:val="19"/>
        </w:rPr>
        <w:t xml:space="preserve"> the accrual side finalises anything: </w:t>
      </w:r>
      <w:r>
        <w:rPr>
          <w:b/>
          <w:i w:val="0"/>
          <w:sz w:val="19"/>
        </w:rPr>
        <w:t>is this one interface or two?</w:t>
      </w:r>
      <w:r>
        <w:rPr>
          <w:b w:val="0"/>
          <w:i w:val="0"/>
          <w:sz w:val="19"/>
        </w:rPr>
        <w:t xml:space="preserve"> If accrual pulls everything from one place, then </w:t>
      </w:r>
      <w:r>
        <w:rPr>
          <w:rFonts w:ascii="Consolas" w:hAnsi="Consolas"/>
          <w:b w:val="0"/>
          <w:i w:val="0"/>
          <w:sz w:val="19"/>
        </w:rPr>
        <w:t>ACCRUAL_STATUS</w:t>
      </w:r>
      <w:r>
        <w:rPr>
          <w:b w:val="0"/>
          <w:i w:val="0"/>
          <w:sz w:val="19"/>
        </w:rPr>
        <w:t xml:space="preserve"> and </w:t>
      </w:r>
      <w:r>
        <w:rPr>
          <w:rFonts w:ascii="Consolas" w:hAnsi="Consolas"/>
          <w:b w:val="0"/>
          <w:i w:val="0"/>
          <w:sz w:val="19"/>
        </w:rPr>
        <w:t>PARTNER_STATUS</w:t>
      </w:r>
      <w:r>
        <w:rPr>
          <w:b w:val="0"/>
          <w:i w:val="0"/>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status set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r>
        <w:tc>
          <w:tcPr>
            <w:tcW w:type="dxa" w:w="3264"/>
          </w:tcPr>
          <w:p>
            <w:pPr>
              <w:spacing w:after="40"/>
            </w:pPr>
            <w:r/>
            <w:r>
              <w:rPr>
                <w:b w:val="0"/>
                <w:i w:val="0"/>
              </w:rPr>
              <w:t>19</w:t>
            </w:r>
          </w:p>
        </w:tc>
        <w:tc>
          <w:tcPr>
            <w:tcW w:type="dxa" w:w="3264"/>
          </w:tcPr>
          <w:p>
            <w:pPr>
              <w:spacing w:after="40"/>
            </w:pPr>
            <w:r/>
            <w:r>
              <w:rPr>
                <w:b/>
                <w:i w:val="0"/>
              </w:rPr>
              <w:t>Structure of the accrual staging table</w:t>
            </w:r>
            <w:r>
              <w:rPr>
                <w:b w:val="0"/>
                <w:i w:val="0"/>
              </w:rPr>
              <w:t xml:space="preserve"> — summary, complete timesheet employee-wise and adjustments, in our schema for accrual to pull (§3.5, §7.3). Being defined on the accrual side, </w:t>
            </w:r>
            <w:r>
              <w:rPr>
                <w:b w:val="0"/>
                <w:i/>
              </w:rPr>
              <w:t>work in progress</w:t>
            </w:r>
            <w:r>
              <w:rPr>
                <w:b w:val="0"/>
                <w:i w:val="0"/>
              </w:rPr>
              <w:t>.</w:t>
            </w:r>
          </w:p>
        </w:tc>
        <w:tc>
          <w:tcPr>
            <w:tcW w:type="dxa" w:w="3264"/>
          </w:tcPr>
          <w:p>
            <w:pPr>
              <w:spacing w:after="40"/>
            </w:pPr>
            <w:r/>
            <w:r>
              <w:rPr>
                <w:b w:val="0"/>
                <w:i w:val="0"/>
              </w:rPr>
              <w:t>accrual team — then build</w:t>
            </w:r>
          </w:p>
        </w:tc>
      </w:tr>
      <w:tr>
        <w:tc>
          <w:tcPr>
            <w:tcW w:type="dxa" w:w="3264"/>
          </w:tcPr>
          <w:p>
            <w:pPr>
              <w:spacing w:after="40"/>
            </w:pPr>
            <w:r/>
            <w:r>
              <w:rPr>
                <w:b w:val="0"/>
                <w:i w:val="0"/>
              </w:rPr>
              <w:t>20</w:t>
            </w:r>
          </w:p>
        </w:tc>
        <w:tc>
          <w:tcPr>
            <w:tcW w:type="dxa" w:w="3264"/>
          </w:tcPr>
          <w:p>
            <w:pPr>
              <w:spacing w:after="40"/>
            </w:pPr>
            <w:r/>
            <w:r>
              <w:rPr>
                <w:b/>
                <w:i w:val="0"/>
              </w:rPr>
              <w:t>One accrual interface or two?</w:t>
            </w:r>
            <w:r>
              <w:rPr>
                <w:b w:val="0"/>
                <w:i w:val="0"/>
              </w:rPr>
              <w:t xml:space="preserve"> The existing interface is already a day-wise pull carrying adjustments, so </w:t>
            </w:r>
            <w:r>
              <w:rPr>
                <w:rFonts w:ascii="Consolas" w:hAnsi="Consolas"/>
                <w:b w:val="0"/>
                <w:i w:val="0"/>
                <w:sz w:val="18"/>
              </w:rPr>
              <w:t>ACCRUAL_STATUS</w:t>
            </w:r>
            <w:r>
              <w:rPr>
                <w:b w:val="0"/>
                <w:i w:val="0"/>
              </w:rPr>
              <w:t xml:space="preserve"> and </w:t>
            </w:r>
            <w:r>
              <w:rPr>
                <w:rFonts w:ascii="Consolas" w:hAnsi="Consolas"/>
                <w:b w:val="0"/>
                <w:i w:val="0"/>
                <w:sz w:val="18"/>
              </w:rPr>
              <w:t>PARTNER_STATUS</w:t>
            </w:r>
            <w:r>
              <w:rPr>
                <w:b w:val="0"/>
                <w:i w:val="0"/>
              </w:rPr>
              <w:t xml:space="preserve"> may be tracking the same hand-off. Decide before the structure is fixed (§3.5).</w:t>
            </w:r>
          </w:p>
        </w:tc>
        <w:tc>
          <w:tcPr>
            <w:tcW w:type="dxa" w:w="3264"/>
          </w:tcPr>
          <w:p>
            <w:pPr>
              <w:spacing w:after="40"/>
            </w:pPr>
            <w:r/>
            <w:r>
              <w:rPr>
                <w:b w:val="0"/>
                <w:i w:val="0"/>
              </w:rPr>
              <w:t>functional + accrual team</w:t>
            </w:r>
          </w:p>
        </w:tc>
      </w:tr>
      <w:tr>
        <w:tc>
          <w:tcPr>
            <w:tcW w:type="dxa" w:w="3264"/>
          </w:tcPr>
          <w:p>
            <w:pPr>
              <w:spacing w:after="40"/>
            </w:pPr>
            <w:r/>
            <w:r>
              <w:rPr>
                <w:b w:val="0"/>
                <w:i w:val="0"/>
              </w:rPr>
              <w:t>21</w:t>
            </w:r>
          </w:p>
        </w:tc>
        <w:tc>
          <w:tcPr>
            <w:tcW w:type="dxa" w:w="3264"/>
          </w:tcPr>
          <w:p>
            <w:pPr>
              <w:spacing w:after="40"/>
            </w:pPr>
            <w:r/>
            <w:r>
              <w:rPr>
                <w:b/>
                <w:i w:val="0"/>
              </w:rPr>
              <w:t>Make the schema match the single status set</w:t>
            </w:r>
            <w:r>
              <w:rPr>
                <w:b w:val="0"/>
                <w:i w:val="0"/>
              </w:rPr>
              <w:t xml:space="preserve"> — the week, day, month and retro-adjustment statuses are separate columns with different permitted values today (§3.2)</w:t>
            </w:r>
          </w:p>
        </w:tc>
        <w:tc>
          <w:tcPr>
            <w:tcW w:type="dxa" w:w="3264"/>
          </w:tcPr>
          <w:p>
            <w:pPr>
              <w:spacing w:after="40"/>
            </w:pPr>
            <w:r/>
            <w:r>
              <w:rPr>
                <w:b w:val="0"/>
                <w:i w:val="0"/>
              </w:rPr>
              <w:t>build</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b w:val="0"/>
          <w:i w:val="0"/>
          <w:color w:val="55657A"/>
          <w:sz w:val="18"/>
        </w:rPr>
        <w:t>doc/Time_Module_Architecture.html</w:t>
      </w:r>
      <w:r>
        <w:rPr>
          <w:b w:val="0"/>
          <w:i w:val="0"/>
          <w:color w:val="55657A"/>
        </w:rPr>
        <w:t>.</w:t>
      </w:r>
    </w:p>
    <w:p>
      <w:pPr>
        <w:pStyle w:val="Heading3"/>
      </w:pPr>
      <w:r>
        <w:t>Flow 1 — inbound: what is read, and what it feeds</w:t>
      </w:r>
    </w:p>
    <w:p>
      <w:pPr>
        <w:jc w:val="center"/>
      </w:pPr>
      <w:r>
        <w:drawing>
          <wp:inline xmlns:a="http://schemas.openxmlformats.org/drawingml/2006/main" xmlns:pic="http://schemas.openxmlformats.org/drawingml/2006/picture">
            <wp:extent cx="5760720" cy="45092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4509253"/>
                    </a:xfrm>
                    <a:prstGeom prst="rect"/>
                  </pic:spPr>
                </pic:pic>
              </a:graphicData>
            </a:graphic>
          </wp:inline>
        </w:drawing>
      </w:r>
    </w:p>
    <w:p>
      <w:pPr>
        <w:jc w:val="center"/>
      </w:pPr>
      <w:r>
        <w:rPr>
          <w:b w:val="0"/>
          <w:i/>
          <w:color w:val="55657A"/>
          <w:sz w:val="17"/>
        </w:rPr>
        <w:t>Flow 1 — inbound. Everything read live from Fusion, and what each read feeds.</w:t>
      </w:r>
    </w:p>
    <w:p>
      <w:pPr>
        <w:pStyle w:val="Heading3"/>
      </w:pPr>
      <w:r>
        <w:t>Lifecycle — status and the flags each event raises</w:t>
      </w:r>
    </w:p>
    <w:p>
      <w:r>
        <w:rPr>
          <w:b w:val="0"/>
          <w:i w:val="0"/>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pPr>
        <w:jc w:val="center"/>
      </w:pPr>
      <w:r>
        <w:drawing>
          <wp:inline xmlns:a="http://schemas.openxmlformats.org/drawingml/2006/main" xmlns:pic="http://schemas.openxmlformats.org/drawingml/2006/picture">
            <wp:extent cx="5760720" cy="65586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6558613"/>
                    </a:xfrm>
                    <a:prstGeom prst="rect"/>
                  </pic:spPr>
                </pic:pic>
              </a:graphicData>
            </a:graphic>
          </wp:inline>
        </w:drawing>
      </w:r>
    </w:p>
    <w:p>
      <w:pPr>
        <w:jc w:val="center"/>
      </w:pPr>
      <w:r>
        <w:rPr>
          <w:b w:val="0"/>
          <w:i/>
          <w:color w:val="55657A"/>
          <w:sz w:val="17"/>
        </w:rPr>
        <w:t>Lifecycle — the six statuses, with the flag each event raises shown on the edge.</w:t>
      </w:r>
    </w:p>
    <w:p>
      <w:r>
        <w:rPr>
          <w:b/>
          <w:i w:val="0"/>
          <w:color w:val="55657A"/>
        </w:rPr>
        <w:t>The flags each event raises:</w:t>
      </w:r>
      <w:r>
        <w:rPr>
          <w:b w:val="0"/>
          <w:i w:val="0"/>
          <w:color w:val="55657A"/>
        </w:rPr>
        <w:t xml:space="preserve"> submitting late raises </w:t>
      </w:r>
      <w:r>
        <w:rPr>
          <w:b w:val="0"/>
          <w:i/>
          <w:color w:val="55657A"/>
        </w:rPr>
        <w:t>Late submission</w:t>
      </w:r>
      <w:r>
        <w:rPr>
          <w:b w:val="0"/>
          <w:i w:val="0"/>
          <w:color w:val="55657A"/>
        </w:rPr>
        <w:t xml:space="preserve">; a cut-off raises </w:t>
      </w:r>
      <w:r>
        <w:rPr>
          <w:b w:val="0"/>
          <w:i/>
          <w:color w:val="55657A"/>
        </w:rPr>
        <w:t>Defaulted</w:t>
      </w:r>
      <w:r>
        <w:rPr>
          <w:b w:val="0"/>
          <w:i w:val="0"/>
          <w:color w:val="55657A"/>
        </w:rPr>
        <w:t xml:space="preserve"> and, if it was the submitter’s deadline, locks further edits; overriding raises </w:t>
      </w:r>
      <w:r>
        <w:rPr>
          <w:b w:val="0"/>
          <w:i/>
          <w:color w:val="55657A"/>
        </w:rPr>
        <w:t>Overridden &amp; approved</w:t>
      </w:r>
      <w:r>
        <w:rPr>
          <w:b w:val="0"/>
          <w:i w:val="0"/>
          <w:color w:val="55657A"/>
        </w:rPr>
        <w:t xml:space="preserve">; closing ahead of the cut-off raises </w:t>
      </w:r>
      <w:r>
        <w:rPr>
          <w:b w:val="0"/>
          <w:i/>
          <w:color w:val="55657A"/>
        </w:rPr>
        <w:t>Advance closure</w:t>
      </w:r>
      <w:r>
        <w:rPr>
          <w:b w:val="0"/>
          <w:i w:val="0"/>
          <w:color w:val="55657A"/>
        </w:rPr>
        <w:t xml:space="preserve">. </w:t>
      </w:r>
      <w:r>
        <w:rPr>
          <w:b w:val="0"/>
          <w:i/>
          <w:color w:val="55657A"/>
        </w:rPr>
        <w:t>Reversal</w:t>
      </w:r>
      <w:r>
        <w:rPr>
          <w:b w:val="0"/>
          <w:i w:val="0"/>
          <w:color w:val="55657A"/>
        </w:rPr>
        <w:t xml:space="preserve"> and </w:t>
      </w:r>
      <w:r>
        <w:rPr>
          <w:b w:val="0"/>
          <w:i/>
          <w:color w:val="55657A"/>
        </w:rPr>
        <w:t>Adjustment</w:t>
      </w:r>
      <w:r>
        <w:rPr>
          <w:b w:val="0"/>
          <w:i w:val="0"/>
          <w:color w:val="55657A"/>
        </w:rPr>
        <w:t xml:space="preserve"> are derived from the entries rather than raised by a transition. Detail in 3.3.</w:t>
      </w:r>
    </w:p>
    <w:p>
      <w:pPr>
        <w:pStyle w:val="Heading3"/>
      </w:pPr>
      <w:r>
        <w:t>Flow 2 — outbound: what leaves, at which grain, in which order</w:t>
      </w:r>
    </w:p>
    <w:p>
      <w:pPr>
        <w:jc w:val="center"/>
      </w:pPr>
      <w:r>
        <w:drawing>
          <wp:inline xmlns:a="http://schemas.openxmlformats.org/drawingml/2006/main" xmlns:pic="http://schemas.openxmlformats.org/drawingml/2006/picture">
            <wp:extent cx="5760720" cy="533032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5330321"/>
                    </a:xfrm>
                    <a:prstGeom prst="rect"/>
                  </pic:spPr>
                </pic:pic>
              </a:graphicData>
            </a:graphic>
          </wp:inline>
        </w:drawing>
      </w:r>
    </w:p>
    <w:p>
      <w:pPr>
        <w:jc w:val="center"/>
      </w:pPr>
      <w:r>
        <w:rPr>
          <w:b w:val="0"/>
          <w:i/>
          <w:color w:val="55657A"/>
          <w:sz w:val="17"/>
        </w:rPr>
        <w:t>Flow 2 — outbound. What leaves once a month is confirmed, at which grain and in which order.</w:t>
      </w:r>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Status — every transition</w:t>
      </w:r>
    </w:p>
    <w:p>
      <w:r>
        <w:rPr>
          <w:b w:val="0"/>
          <w:i w:val="0"/>
        </w:rPr>
        <w:t>Six statuses, one at a time, the same set at every level.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Manager overrides the hours and approves</w:t>
            </w:r>
          </w:p>
        </w:tc>
        <w:tc>
          <w:tcPr>
            <w:tcW w:type="dxa" w:w="2448"/>
          </w:tcPr>
          <w:p>
            <w:pPr>
              <w:spacing w:after="40"/>
            </w:pPr>
            <w:r/>
            <w:r>
              <w:rPr>
                <w:b/>
                <w:i w:val="0"/>
              </w:rPr>
              <w:t>Overridden and approved</w:t>
            </w:r>
          </w:p>
        </w:tc>
        <w:tc>
          <w:tcPr>
            <w:tcW w:type="dxa" w:w="2448"/>
          </w:tcPr>
          <w:p>
            <w:pPr>
              <w:spacing w:after="40"/>
            </w:pPr>
            <w:r/>
            <w:r>
              <w:rPr>
                <w:b w:val="0"/>
                <w:i w:val="0"/>
              </w:rPr>
              <w:t xml:space="preserve">+ </w:t>
            </w:r>
            <w:r>
              <w:rPr>
                <w:b w:val="0"/>
                <w:i/>
              </w:rPr>
              <w:t>Overridden &amp; approved</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every date in it goes back to awaiting a decision;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 xml:space="preserve">Approved </w:t>
            </w:r>
            <w:r>
              <w:rPr>
                <w:b w:val="0"/>
                <w:i/>
              </w:rPr>
              <w:t>or</w:t>
            </w:r>
            <w:r>
              <w:rPr>
                <w:b w:val="0"/>
                <w:i w:val="0"/>
              </w:rPr>
              <w:t xml:space="preserve"> Overridden and 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puts every date back to awaiting a decision — without that reset the approver could not act on it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r>
        <w:rPr>
          <w:b/>
          <w:i w:val="0"/>
          <w:color w:val="55657A"/>
        </w:rPr>
        <w:t>The same transitions serve a single day.</w:t>
      </w:r>
      <w:r>
        <w:rPr>
          <w:b w:val="0"/>
          <w:i w:val="0"/>
          <w:color w:val="55657A"/>
        </w:rPr>
        <w:t xml:space="preserve"> Approving, rejecting or undoing one date uses the rows above — there is no separate day scheme. Two consequences follow from the day and the week sharing them: when every day is approved the week becomes </w:t>
      </w:r>
      <w:r>
        <w:rPr>
          <w:b w:val="0"/>
          <w:i/>
          <w:color w:val="55657A"/>
        </w:rPr>
        <w:t>Approved</w:t>
      </w:r>
      <w:r>
        <w:rPr>
          <w:b w:val="0"/>
          <w:i w:val="0"/>
          <w:color w:val="55657A"/>
        </w:rPr>
        <w:t xml:space="preserve">, and any rejected day makes the week </w:t>
      </w:r>
      <w:r>
        <w:rPr>
          <w:b w:val="0"/>
          <w:i/>
          <w:color w:val="55657A"/>
        </w:rPr>
        <w:t>Rejected</w:t>
      </w:r>
      <w:r>
        <w:rPr>
          <w:b w:val="0"/>
          <w:i w:val="0"/>
          <w:color w:val="55657A"/>
        </w:rPr>
        <w:t xml:space="preserve"> and sends it back. Undoing a day decision recomputes the week from the days that remain.</w:t>
      </w:r>
    </w:p>
    <w:p>
      <w:pPr>
        <w:pStyle w:val="Heading2"/>
      </w:pPr>
      <w:r>
        <w:t>7.3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staging table</w:t>
            </w:r>
            <w:r>
              <w:br/>
            </w:r>
            <w:r>
              <w:rPr>
                <w:b w:val="0"/>
                <w:i w:val="0"/>
              </w:rPr>
              <w:t>in our schema; accrual pulls</w:t>
            </w:r>
          </w:p>
        </w:tc>
        <w:tc>
          <w:tcPr>
            <w:tcW w:type="dxa" w:w="2448"/>
          </w:tcPr>
          <w:p>
            <w:pPr>
              <w:spacing w:after="40"/>
            </w:pPr>
            <w:r/>
            <w:r>
              <w:rPr>
                <w:b w:val="0"/>
                <w:i w:val="0"/>
              </w:rPr>
              <w:t xml:space="preserve">three record kinds together: the </w:t>
            </w:r>
            <w:r>
              <w:rPr>
                <w:b/>
                <w:i w:val="0"/>
              </w:rPr>
              <w:t>summary</w:t>
            </w:r>
            <w:r>
              <w:rPr>
                <w:b w:val="0"/>
                <w:i w:val="0"/>
              </w:rPr>
              <w:t xml:space="preserve">, the </w:t>
            </w:r>
            <w:r>
              <w:rPr>
                <w:b/>
                <w:i w:val="0"/>
              </w:rPr>
              <w:t>complete timesheet employee-wise</w:t>
            </w:r>
            <w:r>
              <w:rPr>
                <w:b w:val="0"/>
                <w:i w:val="0"/>
              </w:rPr>
              <w:t xml:space="preserve">, and </w:t>
            </w:r>
            <w:r>
              <w:rPr>
                <w:b/>
                <w:i w:val="0"/>
              </w:rPr>
              <w:t>adjustments</w:t>
            </w:r>
            <w:r>
              <w:rPr>
                <w:b w:val="0"/>
                <w:i w:val="0"/>
              </w:rPr>
              <w:t xml:space="preserve"> if any</w:t>
            </w:r>
          </w:p>
        </w:tc>
        <w:tc>
          <w:tcPr>
            <w:tcW w:type="dxa" w:w="2448"/>
          </w:tcPr>
          <w:p>
            <w:pPr>
              <w:spacing w:after="40"/>
            </w:pPr>
            <w:r/>
            <w:r>
              <w:rPr>
                <w:b w:val="0"/>
                <w:i w:val="0"/>
              </w:rPr>
              <w:t xml:space="preserve">We fill it on month confirm; the accrual module reads it. Nothing is written into accrual’s own tables. </w:t>
            </w:r>
            <w:r>
              <w:rPr>
                <w:b/>
                <w:i w:val="0"/>
              </w:rPr>
              <w:t>The structure is being defined on the accrual side and is not final</w:t>
            </w:r>
            <w:r>
              <w:rPr>
                <w:b w:val="0"/>
                <w:i w:val="0"/>
              </w:rPr>
              <w:t xml:space="preserve"> — open item 19. See also the note in 3.5 on whether this is one interface or two.</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