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and exactly what is posted back to Oracle Project Costing.</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Salary-stop signal</w:t>
      </w:r>
      <w:r>
        <w:rPr>
          <w:b w:val="0"/>
          <w:i w:val="0"/>
        </w:rPr>
        <w:t xml:space="preserve"> for employees who missed the weekly cut-off.</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xml:space="preserve">, no Payroll Time Type is resolved and no payroll reference data is read. The salary-stop signal above is a </w:t>
      </w:r>
      <w:r>
        <w:rPr>
          <w:b w:val="0"/>
          <w:i/>
        </w:rPr>
        <w:t>flag for the payroll team to act on</w:t>
      </w:r>
      <w:r>
        <w:rPr>
          <w:b w:val="0"/>
          <w:i w:val="0"/>
        </w:rPr>
        <w:t>, not a payroll transaction.</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 xml:space="preserve">The two cut-off runs are the only remaining scheduled work, and they process time already captured rather than fetching reference data. </w:t>
      </w:r>
      <w:r>
        <w:rPr>
          <w:b/>
          <w:i w:val="0"/>
          <w:color w:val="55657A"/>
        </w:rPr>
        <w:t>Order matters:</w:t>
      </w:r>
      <w:r>
        <w:rPr>
          <w:b w:val="0"/>
          <w:i w:val="0"/>
          <w:color w:val="55657A"/>
        </w:rPr>
        <w:t xml:space="preserve"> the salary-stop job must run after weekly defaulting, because it acts only on weeks that job marked.</w:t>
      </w:r>
    </w:p>
    <w:p>
      <w:pPr>
        <w:pStyle w:val="Heading2"/>
      </w:pPr>
      <w:r>
        <w:t>3.2 Status</w:t>
      </w:r>
    </w:p>
    <w:p>
      <w:r>
        <w:rPr>
          <w:b w:val="0"/>
          <w:i w:val="0"/>
        </w:rPr>
        <w:t xml:space="preserve">A record is in exactly </w:t>
      </w:r>
      <w:r>
        <w:rPr>
          <w:b/>
          <w:i w:val="0"/>
        </w:rPr>
        <w:t>one</w:t>
      </w:r>
      <w:r>
        <w:rPr>
          <w:b w:val="0"/>
          <w:i w:val="0"/>
        </w:rPr>
        <w:t xml:space="preserve"> status at a time, at each grain.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Grain</w:t>
            </w:r>
          </w:p>
        </w:tc>
        <w:tc>
          <w:tcPr>
            <w:tcW w:type="dxa" w:w="3264"/>
            <w:shd w:val="clear" w:fill="F1F3F6"/>
          </w:tcPr>
          <w:p>
            <w:pPr>
              <w:spacing w:after="40"/>
            </w:pPr>
            <w:r/>
            <w:r>
              <w:rPr>
                <w:b/>
                <w:i w:val="0"/>
              </w:rPr>
              <w:t>Table · column</w:t>
            </w:r>
          </w:p>
        </w:tc>
        <w:tc>
          <w:tcPr>
            <w:tcW w:type="dxa" w:w="3264"/>
            <w:shd w:val="clear" w:fill="F1F3F6"/>
          </w:tcPr>
          <w:p>
            <w:pPr>
              <w:spacing w:after="40"/>
            </w:pPr>
            <w:r/>
            <w:r>
              <w:rPr>
                <w:b/>
                <w:i w:val="0"/>
              </w:rPr>
              <w:t>Values</w:t>
            </w:r>
          </w:p>
        </w:tc>
      </w:tr>
      <w:tr>
        <w:tc>
          <w:tcPr>
            <w:tcW w:type="dxa" w:w="3264"/>
          </w:tcPr>
          <w:p>
            <w:pPr>
              <w:spacing w:after="40"/>
            </w:pPr>
            <w:r/>
            <w:r>
              <w:rPr>
                <w:b/>
                <w:i w:val="0"/>
              </w:rPr>
              <w:t>Week</w:t>
            </w:r>
            <w:r>
              <w:rPr>
                <w:b w:val="0"/>
                <w:i w:val="0"/>
              </w:rPr>
              <w:t xml:space="preserve"> (the main one)</w:t>
            </w:r>
          </w:p>
        </w:tc>
        <w:tc>
          <w:tcPr>
            <w:tcW w:type="dxa" w:w="3264"/>
          </w:tcPr>
          <w:p>
            <w:pPr>
              <w:spacing w:after="40"/>
            </w:pPr>
            <w:r/>
            <w:r>
              <w:rPr>
                <w:rFonts w:ascii="Consolas" w:hAnsi="Consolas"/>
                <w:b w:val="0"/>
                <w:i w:val="0"/>
                <w:sz w:val="18"/>
              </w:rPr>
              <w:t>OC_TS_WEEK.WEEK_STATUS</w:t>
            </w:r>
          </w:p>
        </w:tc>
        <w:tc>
          <w:tcPr>
            <w:tcW w:type="dxa" w:w="3264"/>
          </w:tcPr>
          <w:p>
            <w:pPr>
              <w:spacing w:after="40"/>
            </w:pPr>
            <w:r/>
            <w:r>
              <w:rPr>
                <w:b w:val="0"/>
                <w:i w:val="0"/>
              </w:rPr>
              <w:t xml:space="preserve">Not yet submitted · Submitted · Approved · Rejected · Defaulted · Overridden and approved </w:t>
            </w:r>
            <w:r>
              <w:rPr>
                <w:b w:val="0"/>
                <w:i/>
              </w:rPr>
              <w:t>(6)</w:t>
            </w:r>
          </w:p>
        </w:tc>
      </w:tr>
      <w:tr>
        <w:tc>
          <w:tcPr>
            <w:tcW w:type="dxa" w:w="3264"/>
          </w:tcPr>
          <w:p>
            <w:pPr>
              <w:spacing w:after="40"/>
            </w:pPr>
            <w:r/>
            <w:r>
              <w:rPr>
                <w:b/>
                <w:i w:val="0"/>
              </w:rPr>
              <w:t>Day</w:t>
            </w:r>
          </w:p>
        </w:tc>
        <w:tc>
          <w:tcPr>
            <w:tcW w:type="dxa" w:w="3264"/>
          </w:tcPr>
          <w:p>
            <w:pPr>
              <w:spacing w:after="40"/>
            </w:pPr>
            <w:r/>
            <w:r>
              <w:rPr>
                <w:rFonts w:ascii="Consolas" w:hAnsi="Consolas"/>
                <w:b w:val="0"/>
                <w:i w:val="0"/>
                <w:sz w:val="18"/>
              </w:rPr>
              <w:t>OC_TS_ENTRY.DAY_STATUS</w:t>
            </w:r>
          </w:p>
        </w:tc>
        <w:tc>
          <w:tcPr>
            <w:tcW w:type="dxa" w:w="3264"/>
          </w:tcPr>
          <w:p>
            <w:pPr>
              <w:spacing w:after="40"/>
            </w:pPr>
            <w:r/>
            <w:r>
              <w:rPr>
                <w:b w:val="0"/>
                <w:i w:val="0"/>
              </w:rPr>
              <w:t xml:space="preserve">Pending · Approved · Rejected </w:t>
            </w:r>
            <w:r>
              <w:rPr>
                <w:b w:val="0"/>
                <w:i/>
              </w:rPr>
              <w:t>(3)</w:t>
            </w:r>
          </w:p>
        </w:tc>
      </w:tr>
      <w:tr>
        <w:tc>
          <w:tcPr>
            <w:tcW w:type="dxa" w:w="3264"/>
          </w:tcPr>
          <w:p>
            <w:pPr>
              <w:spacing w:after="40"/>
            </w:pPr>
            <w:r/>
            <w:r>
              <w:rPr>
                <w:b/>
                <w:i w:val="0"/>
              </w:rPr>
              <w:t>Project-month</w:t>
            </w:r>
          </w:p>
        </w:tc>
        <w:tc>
          <w:tcPr>
            <w:tcW w:type="dxa" w:w="3264"/>
          </w:tcPr>
          <w:p>
            <w:pPr>
              <w:spacing w:after="40"/>
            </w:pPr>
            <w:r/>
            <w:r>
              <w:rPr>
                <w:rFonts w:ascii="Consolas" w:hAnsi="Consolas"/>
                <w:b w:val="0"/>
                <w:i w:val="0"/>
                <w:sz w:val="18"/>
              </w:rPr>
              <w:t>OC_TS_MONTH_CONFIRM.CONFIRM_TYPE</w:t>
            </w:r>
          </w:p>
        </w:tc>
        <w:tc>
          <w:tcPr>
            <w:tcW w:type="dxa" w:w="3264"/>
          </w:tcPr>
          <w:p>
            <w:pPr>
              <w:spacing w:after="40"/>
            </w:pPr>
            <w:r/>
            <w:r>
              <w:rPr>
                <w:b w:val="0"/>
                <w:i w:val="0"/>
              </w:rPr>
              <w:t xml:space="preserve">Normal · Advance closure · Reopened </w:t>
            </w:r>
            <w:r>
              <w:rPr>
                <w:b w:val="0"/>
                <w:i/>
              </w:rPr>
              <w:t>(3)</w:t>
            </w:r>
          </w:p>
        </w:tc>
      </w:tr>
      <w:tr>
        <w:tc>
          <w:tcPr>
            <w:tcW w:type="dxa" w:w="3264"/>
          </w:tcPr>
          <w:p>
            <w:pPr>
              <w:spacing w:after="40"/>
            </w:pPr>
            <w:r/>
            <w:r>
              <w:rPr>
                <w:b w:val="0"/>
                <w:i w:val="0"/>
              </w:rPr>
              <w:t>Retro adjustment</w:t>
            </w:r>
          </w:p>
        </w:tc>
        <w:tc>
          <w:tcPr>
            <w:tcW w:type="dxa" w:w="3264"/>
          </w:tcPr>
          <w:p>
            <w:pPr>
              <w:spacing w:after="40"/>
            </w:pPr>
            <w:r/>
            <w:r>
              <w:rPr>
                <w:rFonts w:ascii="Consolas" w:hAnsi="Consolas"/>
                <w:b w:val="0"/>
                <w:i w:val="0"/>
                <w:sz w:val="18"/>
              </w:rPr>
              <w:t>OC_TS_ADJUSTMENT.STATUS</w:t>
            </w:r>
          </w:p>
        </w:tc>
        <w:tc>
          <w:tcPr>
            <w:tcW w:type="dxa" w:w="3264"/>
          </w:tcPr>
          <w:p>
            <w:pPr>
              <w:spacing w:after="40"/>
            </w:pPr>
            <w:r/>
            <w:r>
              <w:rPr>
                <w:b w:val="0"/>
                <w:i w:val="0"/>
              </w:rPr>
              <w:t xml:space="preserve">Awaiting Approval · Approved · Rejected · Cancelled </w:t>
            </w:r>
            <w:r>
              <w:rPr>
                <w:b w:val="0"/>
                <w:i/>
              </w:rPr>
              <w:t>(4)</w:t>
            </w:r>
          </w:p>
        </w:tc>
      </w:tr>
    </w:tbl>
    <w:p/>
    <w:p>
      <w:pPr>
        <w:spacing w:before="120" w:after="160"/>
        <w:ind w:left="288"/>
        <w:pBdr>
          <w:left w:val="single" w:sz="18" w:space="8" w:color="D9A53C"/>
        </w:pBdr>
      </w:pPr>
      <w:r>
        <w:rPr>
          <w:b/>
          <w:i w:val="0"/>
          <w:sz w:val="19"/>
        </w:rPr>
        <w:t>“Closed” is removed.</w:t>
      </w:r>
      <w:r>
        <w:rPr>
          <w:b w:val="0"/>
          <w:i w:val="0"/>
          <w:sz w:val="19"/>
        </w:rPr>
        <w:t xml:space="preserve"> The week model ends at </w:t>
      </w:r>
      <w:r>
        <w:rPr>
          <w:b w:val="0"/>
          <w:i/>
          <w:sz w:val="19"/>
        </w:rPr>
        <w:t>Approved</w:t>
      </w:r>
      <w:r>
        <w:rPr>
          <w:b w:val="0"/>
          <w:i w:val="0"/>
          <w:sz w:val="19"/>
        </w:rPr>
        <w:t xml:space="preserve">. Confirming a month previously moved every approved week to a seventh status, </w:t>
      </w:r>
      <w:r>
        <w:rPr>
          <w:b w:val="0"/>
          <w:i/>
          <w:sz w:val="19"/>
        </w:rPr>
        <w:t>Closed</w:t>
      </w:r>
      <w:r>
        <w:rPr>
          <w:b w:val="0"/>
          <w:i w:val="0"/>
          <w:sz w:val="19"/>
        </w:rPr>
        <w:t xml:space="preserve">; it no longer does. The month-level confirmation is a fact about the </w:t>
      </w:r>
      <w:r>
        <w:rPr>
          <w:b w:val="0"/>
          <w:i/>
          <w:sz w:val="19"/>
        </w:rPr>
        <w:t>month</w:t>
      </w:r>
      <w:r>
        <w:rPr>
          <w:b w:val="0"/>
          <w:i w:val="0"/>
          <w:sz w:val="19"/>
        </w:rPr>
        <w:t xml:space="preserve"> and is recorded in </w:t>
      </w:r>
      <w:r>
        <w:rPr>
          <w:rFonts w:ascii="Consolas" w:hAnsi="Consolas"/>
          <w:b w:val="0"/>
          <w:i w:val="0"/>
          <w:sz w:val="19"/>
        </w:rPr>
        <w:t>OC_TS_MONTH_CONFIRM</w:t>
      </w:r>
      <w:r>
        <w:rPr>
          <w:b w:val="0"/>
          <w:i w:val="0"/>
          <w:sz w:val="19"/>
        </w:rPr>
        <w:t xml:space="preserve">, which is where anything needing to know “has this month gone out” should look. This is a build change, not only a documentation one: the status is still permitted by a database constraint and is still written by the confirm step, and both need amending.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 week carries any number of flags at once, all held on </w:t>
      </w:r>
      <w:r>
        <w:rPr>
          <w:rFonts w:ascii="Consolas" w:hAnsi="Consolas"/>
          <w:b w:val="0"/>
          <w:i w:val="0"/>
          <w:sz w:val="18"/>
        </w:rPr>
        <w:t>OC_TS_WEEK</w:t>
      </w:r>
      <w:r>
        <w:rPr>
          <w:b w:val="0"/>
          <w:i w:val="0"/>
        </w:rPr>
        <w: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holds salary, and </w:t>
            </w:r>
            <w:r>
              <w:rPr>
                <w:b/>
                <w:i w:val="0"/>
              </w:rPr>
              <w:t>locks the week against further employee edits</w:t>
            </w:r>
            <w:r>
              <w:rPr>
                <w:b w:val="0"/>
                <w:i w:val="0"/>
              </w:rPr>
              <w:t xml:space="preserve"> — from </w:t>
            </w:r>
            <w:r>
              <w:rPr>
                <w:rFonts w:ascii="Consolas" w:hAnsi="Consolas"/>
                <w:b w:val="0"/>
                <w:i w:val="0"/>
                <w:sz w:val="18"/>
              </w:rPr>
              <w:t>MANAGER</w:t>
            </w:r>
            <w:r>
              <w:rPr>
                <w:b w:val="0"/>
                <w:i w:val="0"/>
              </w:rPr>
              <w:t>, missed the delivery cut-off, which never holds salary and never locks. The lock is a property of this flag, not a flag of its own.</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week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There is no separate “Locked” flag — locking is what </w:t>
      </w:r>
      <w:r>
        <w:rPr>
          <w:b w:val="0"/>
          <w:i/>
          <w:color w:val="55657A"/>
        </w:rPr>
        <w:t>Defaulted by employee</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week </w:t>
      </w:r>
      <w:r>
        <w:rPr>
          <w:b/>
          <w:i w:val="0"/>
        </w:rPr>
        <w:t>status</w:t>
      </w:r>
      <w:r>
        <w:rPr>
          <w:b w:val="0"/>
          <w:i w:val="0"/>
        </w:rPr>
        <w:t xml:space="preserve"> and as a </w:t>
      </w:r>
      <w:r>
        <w:rPr>
          <w:b/>
          <w:i w:val="0"/>
        </w:rPr>
        <w:t>flag</w:t>
      </w:r>
      <w:r>
        <w:rPr>
          <w:b w:val="0"/>
          <w:i w:val="0"/>
        </w:rPr>
        <w:t xml:space="preserve">. The status says what the week is now; the flag says it happened at all and survives a later transition — a defaulted week that a manager then approves becomes </w:t>
      </w:r>
      <w:r>
        <w:rPr>
          <w:rFonts w:ascii="Consolas" w:hAnsi="Consolas"/>
          <w:b w:val="0"/>
          <w:i w:val="0"/>
          <w:sz w:val="18"/>
        </w:rPr>
        <w:t>Approved</w:t>
      </w:r>
      <w:r>
        <w:rPr>
          <w:b w:val="0"/>
          <w:i w:val="0"/>
        </w:rPr>
        <w:t xml:space="preserve"> while the defaulted flag stays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each is maintained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the week status, all six flags,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rFonts w:ascii="Consolas" w:hAnsi="Consolas"/>
                <w:b w:val="0"/>
                <w:i w:val="0"/>
                <w:sz w:val="18"/>
              </w:rPr>
              <w:t>DAY_STATUS</w:t>
            </w:r>
            <w:r>
              <w:rPr>
                <w:b w:val="0"/>
                <w:i w:val="0"/>
              </w:rPr>
              <w:t xml:space="preserve">;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The main O2C application’s own accrual chain.</w:t>
            </w:r>
            <w:r>
              <w:rPr>
                <w:b w:val="0"/>
                <w:i w:val="0"/>
              </w:rPr>
              <w:t xml:space="preserve"> A second, direct hand-off that writes into the main application rather than waiting for it to pull from the interface table. It exists because the reporting product that used to feed that chain is being retired, and the main application still needs timesheet figures.</w:t>
            </w:r>
          </w:p>
        </w:tc>
        <w:tc>
          <w:tcPr>
            <w:tcW w:type="dxa" w:w="3264"/>
          </w:tcPr>
          <w:p>
            <w:pPr>
              <w:spacing w:after="40"/>
            </w:pPr>
            <w:r/>
            <w:r>
              <w:rPr>
                <w:b/>
                <w:i w:val="0"/>
              </w:rPr>
              <w:t>Built, deliberately dormant.</w:t>
            </w:r>
            <w:r>
              <w:rPr>
                <w:b w:val="0"/>
                <w:i w:val="0"/>
              </w:rPr>
              <w:t xml:space="preserve"> By explicit instruction, confirmed months are held locally and nothing is written to the main application yet. The column stays </w:t>
            </w:r>
            <w:r>
              <w:rPr>
                <w:b w:val="0"/>
                <w:i/>
              </w:rPr>
              <w:t>Pending</w:t>
            </w:r>
            <w:r>
              <w:rPr>
                <w:b w:val="0"/>
                <w:i w:val="0"/>
              </w:rPr>
              <w:t>, which is what makes the fact that it has not run visible rather than assumed.</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day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week status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bl>
    <w:p/>
    <w:p>
      <w:pPr>
        <w:pStyle w:val="Heading3"/>
      </w:pPr>
      <w:r>
        <w:t>Data conditions in Fusion that block time entry</w:t>
      </w:r>
    </w:p>
    <w:p>
      <w:r>
        <w:rPr>
          <w:b w:val="0"/>
          <w:i w:val="0"/>
          <w:color w:val="55657A"/>
        </w:rPr>
        <w:t>Measured on the reference pod, 01–02 Aug 2026. These are data to correct in Fusion, not defects in the module — but each one stops somebody entering or costing time.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Condition</w:t>
            </w:r>
          </w:p>
        </w:tc>
        <w:tc>
          <w:tcPr>
            <w:tcW w:type="dxa" w:w="3264"/>
            <w:shd w:val="clear" w:fill="F1F3F6"/>
          </w:tcPr>
          <w:p>
            <w:pPr>
              <w:spacing w:after="40"/>
            </w:pPr>
            <w:r/>
            <w:r>
              <w:rPr>
                <w:b/>
                <w:i w:val="0"/>
              </w:rPr>
              <w:t>Measured</w:t>
            </w:r>
          </w:p>
        </w:tc>
        <w:tc>
          <w:tcPr>
            <w:tcW w:type="dxa" w:w="3264"/>
            <w:shd w:val="clear" w:fill="F1F3F6"/>
          </w:tcPr>
          <w:p>
            <w:pPr>
              <w:spacing w:after="40"/>
            </w:pPr>
            <w:r/>
            <w:r>
              <w:rPr>
                <w:b/>
                <w:i w:val="0"/>
              </w:rPr>
              <w:t>Effect</w:t>
            </w:r>
          </w:p>
        </w:tc>
      </w:tr>
      <w:tr>
        <w:tc>
          <w:tcPr>
            <w:tcW w:type="dxa" w:w="3264"/>
          </w:tcPr>
          <w:p>
            <w:pPr>
              <w:spacing w:after="40"/>
            </w:pPr>
            <w:r/>
            <w:r>
              <w:rPr>
                <w:b w:val="0"/>
                <w:i w:val="0"/>
              </w:rPr>
              <w:t>Workers with no expenditure organization</w:t>
            </w:r>
          </w:p>
        </w:tc>
        <w:tc>
          <w:tcPr>
            <w:tcW w:type="dxa" w:w="3264"/>
          </w:tcPr>
          <w:p>
            <w:pPr>
              <w:spacing w:after="40"/>
            </w:pPr>
            <w:r/>
            <w:r>
              <w:rPr>
                <w:b w:val="0"/>
                <w:i w:val="0"/>
              </w:rPr>
              <w:t>1,229 of 5,988</w:t>
            </w:r>
          </w:p>
        </w:tc>
        <w:tc>
          <w:tcPr>
            <w:tcW w:type="dxa" w:w="3264"/>
          </w:tcPr>
          <w:p>
            <w:pPr>
              <w:spacing w:after="40"/>
            </w:pPr>
            <w:r/>
            <w:r>
              <w:rPr>
                <w:b w:val="0"/>
                <w:i w:val="0"/>
              </w:rPr>
              <w:t>POET cannot resolve, so nothing can be costed for them</w:t>
            </w:r>
          </w:p>
        </w:tc>
      </w:tr>
      <w:tr>
        <w:tc>
          <w:tcPr>
            <w:tcW w:type="dxa" w:w="3264"/>
          </w:tcPr>
          <w:p>
            <w:pPr>
              <w:spacing w:after="40"/>
            </w:pPr>
            <w:r/>
            <w:r>
              <w:rPr>
                <w:b w:val="0"/>
                <w:i w:val="0"/>
              </w:rPr>
              <w:t>Projects with no project manager</w:t>
            </w:r>
          </w:p>
        </w:tc>
        <w:tc>
          <w:tcPr>
            <w:tcW w:type="dxa" w:w="3264"/>
          </w:tcPr>
          <w:p>
            <w:pPr>
              <w:spacing w:after="40"/>
            </w:pPr>
            <w:r/>
            <w:r>
              <w:rPr>
                <w:b w:val="0"/>
                <w:i w:val="0"/>
              </w:rPr>
              <w:t>237 of 424</w:t>
            </w:r>
          </w:p>
        </w:tc>
        <w:tc>
          <w:tcPr>
            <w:tcW w:type="dxa" w:w="3264"/>
          </w:tcPr>
          <w:p>
            <w:pPr>
              <w:spacing w:after="40"/>
            </w:pPr>
            <w:r/>
            <w:r>
              <w:rPr>
                <w:b w:val="0"/>
                <w:i w:val="0"/>
              </w:rPr>
              <w:t>approval has no routing target</w:t>
            </w:r>
          </w:p>
        </w:tc>
      </w:tr>
      <w:tr>
        <w:tc>
          <w:tcPr>
            <w:tcW w:type="dxa" w:w="3264"/>
          </w:tcPr>
          <w:p>
            <w:pPr>
              <w:spacing w:after="40"/>
            </w:pPr>
            <w:r/>
            <w:r>
              <w:rPr>
                <w:b w:val="0"/>
                <w:i w:val="0"/>
              </w:rPr>
              <w:t>Projects marked to track time</w:t>
            </w:r>
          </w:p>
        </w:tc>
        <w:tc>
          <w:tcPr>
            <w:tcW w:type="dxa" w:w="3264"/>
          </w:tcPr>
          <w:p>
            <w:pPr>
              <w:spacing w:after="40"/>
            </w:pPr>
            <w:r/>
            <w:r>
              <w:rPr>
                <w:b w:val="0"/>
                <w:i w:val="0"/>
              </w:rPr>
              <w:t>only 48 of 424</w:t>
            </w:r>
          </w:p>
        </w:tc>
        <w:tc>
          <w:tcPr>
            <w:tcW w:type="dxa" w:w="3264"/>
          </w:tcPr>
          <w:p>
            <w:pPr>
              <w:spacing w:after="40"/>
            </w:pPr>
            <w:r/>
            <w:r>
              <w:rPr>
                <w:b w:val="0"/>
                <w:i w:val="0"/>
              </w:rPr>
              <w:t>the rest are invisible to time entry — confirm intended</w:t>
            </w:r>
          </w:p>
        </w:tc>
      </w:tr>
      <w:tr>
        <w:tc>
          <w:tcPr>
            <w:tcW w:type="dxa" w:w="3264"/>
          </w:tcPr>
          <w:p>
            <w:pPr>
              <w:spacing w:after="40"/>
            </w:pPr>
            <w:r/>
            <w:r>
              <w:rPr>
                <w:b w:val="0"/>
                <w:i w:val="0"/>
              </w:rPr>
              <w:t>Projects with no chargeable WBS task</w:t>
            </w:r>
          </w:p>
        </w:tc>
        <w:tc>
          <w:tcPr>
            <w:tcW w:type="dxa" w:w="3264"/>
          </w:tcPr>
          <w:p>
            <w:pPr>
              <w:spacing w:after="40"/>
            </w:pPr>
            <w:r/>
            <w:r>
              <w:rPr>
                <w:b w:val="0"/>
                <w:i w:val="0"/>
              </w:rPr>
              <w:t>15 projects, 42 allocations</w:t>
            </w:r>
          </w:p>
        </w:tc>
        <w:tc>
          <w:tcPr>
            <w:tcW w:type="dxa" w:w="3264"/>
          </w:tcPr>
          <w:p>
            <w:pPr>
              <w:spacing w:after="40"/>
            </w:pPr>
            <w:r/>
            <w:r>
              <w:rPr>
                <w:b w:val="0"/>
                <w:i w:val="0"/>
              </w:rPr>
              <w:t>nothing to prepopulate or charge against</w:t>
            </w:r>
          </w:p>
        </w:tc>
      </w:tr>
    </w:tbl>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