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 </w:t>
      </w:r>
      <w:r>
        <w:rPr>
          <w:b w:val="0"/>
          <w:i w:val="0"/>
          <w:color w:val="C0392B"/>
        </w:rPr>
        <w:t>the manager can override the hours at any stage before approval.</w:t>
      </w:r>
      <w:r>
        <w:rPr>
          <w:b w:val="0"/>
          <w:i w:val="0"/>
        </w:rPr>
        <w:t xml:space="preserve"> The employee’s original value is retained in the audit trail.</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color w:val="C0392B"/>
        </w:rPr>
        <w:t>of the O2C accrual interface — written to a table in this module, which the accrual module picks up from there (§3.5).</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 </w:t>
      </w:r>
      <w:r>
        <w:rPr>
          <w:b w:val="0"/>
          <w:i w:val="0"/>
          <w:color w:val="C0392B"/>
        </w:rPr>
        <w:t>and referenced from the O2C main application tables.</w:t>
      </w:r>
    </w:p>
    <w:p>
      <w:pPr>
        <w:pStyle w:val="ListBullet"/>
      </w:pPr>
      <w:r>
        <w:rPr>
          <w:b/>
          <w:i w:val="0"/>
        </w:rPr>
        <w:t>Mobile</w:t>
      </w:r>
      <w:r>
        <w:rPr>
          <w:b w:val="0"/>
          <w:i w:val="0"/>
        </w:rPr>
        <w:t xml:space="preserve"> — phase 2.</w:t>
      </w:r>
    </w:p>
    <w:p>
      <w:pPr>
        <w:pStyle w:val="ListBullet"/>
      </w:pPr>
      <w:r>
        <w:rPr>
          <w:b/>
          <w:i w:val="0"/>
        </w:rPr>
        <w:t>Fusion credentials in the browser</w:t>
      </w:r>
      <w:r>
        <w:rPr>
          <w:b w:val="0"/>
          <w:i w:val="0"/>
        </w:rPr>
        <w:t xml:space="preserve"> (NFR-005). The screens do read Fusion live (§2) — what is barred is the client </w:t>
      </w:r>
      <w:r>
        <w:rPr>
          <w:b w:val="0"/>
          <w:i/>
        </w:rPr>
        <w:t>holding a credential</w:t>
      </w:r>
      <w:r>
        <w:rPr>
          <w:b w:val="0"/>
          <w:i w:val="0"/>
        </w:rPr>
        <w:t xml:space="preserve"> to do it. Every call is either made server-side or forwarded by a server-side proxy that attaches the credential, so nothing secret reaches the browser. Which of those two, see §2.4.</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2"/>
      </w:pPr>
      <w:r>
        <w:t>2.4 Where the call is made from — open</w:t>
      </w:r>
    </w:p>
    <w:p>
      <w:r>
        <w:rPr>
          <w:b w:val="0"/>
          <w:i w:val="0"/>
        </w:rPr>
        <w:t>Two placements satisfy the constraint above, and they are not equivalent.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Placement</w:t>
            </w:r>
          </w:p>
        </w:tc>
        <w:tc>
          <w:tcPr>
            <w:tcW w:type="dxa" w:w="3264"/>
            <w:shd w:val="clear" w:fill="F1F3F6"/>
          </w:tcPr>
          <w:p>
            <w:pPr>
              <w:spacing w:after="40"/>
            </w:pPr>
            <w:r/>
            <w:r>
              <w:rPr>
                <w:b/>
                <w:i w:val="0"/>
              </w:rPr>
              <w:t>What it gives</w:t>
            </w:r>
          </w:p>
        </w:tc>
        <w:tc>
          <w:tcPr>
            <w:tcW w:type="dxa" w:w="3264"/>
            <w:shd w:val="clear" w:fill="F1F3F6"/>
          </w:tcPr>
          <w:p>
            <w:pPr>
              <w:spacing w:after="40"/>
            </w:pPr>
            <w:r/>
            <w:r>
              <w:rPr>
                <w:b/>
                <w:i w:val="0"/>
              </w:rPr>
              <w:t>What it costs</w:t>
            </w:r>
          </w:p>
        </w:tc>
      </w:tr>
      <w:tr>
        <w:tc>
          <w:tcPr>
            <w:tcW w:type="dxa" w:w="3264"/>
          </w:tcPr>
          <w:p>
            <w:pPr>
              <w:spacing w:after="40"/>
            </w:pPr>
            <w:r/>
            <w:r>
              <w:rPr>
                <w:b/>
                <w:i w:val="0"/>
              </w:rPr>
              <w:t>From the page, through the server-side proxy</w:t>
            </w:r>
          </w:p>
        </w:tc>
        <w:tc>
          <w:tcPr>
            <w:tcW w:type="dxa" w:w="3264"/>
          </w:tcPr>
          <w:p>
            <w:pPr>
              <w:spacing w:after="40"/>
            </w:pPr>
            <w:r/>
            <w:r>
              <w:rPr>
                <w:b w:val="0"/>
                <w:i w:val="0"/>
              </w:rPr>
              <w:t>Already proven — the Fusion backend is configured and answers today. Nothing new to install, and the credential is attached by the server, never by the client.</w:t>
            </w:r>
          </w:p>
        </w:tc>
        <w:tc>
          <w:tcPr>
            <w:tcW w:type="dxa" w:w="3264"/>
          </w:tcPr>
          <w:p>
            <w:pPr>
              <w:spacing w:after="40"/>
            </w:pPr>
            <w:r/>
            <w:r>
              <w:rPr>
                <w:b w:val="0"/>
                <w:i w:val="0"/>
              </w:rPr>
              <w:t>Data fetched this way does not pass through the rules in the database, so nothing validates it. Workable only if what the user picked is written back with the entry — which is what the POET snapshot in 3.1 does.</w:t>
            </w:r>
          </w:p>
        </w:tc>
      </w:tr>
      <w:tr>
        <w:tc>
          <w:tcPr>
            <w:tcW w:type="dxa" w:w="3264"/>
          </w:tcPr>
          <w:p>
            <w:pPr>
              <w:spacing w:after="40"/>
            </w:pPr>
            <w:r/>
            <w:r>
              <w:rPr>
                <w:b/>
                <w:i w:val="0"/>
              </w:rPr>
              <w:t>From the database, server-side</w:t>
            </w:r>
          </w:p>
        </w:tc>
        <w:tc>
          <w:tcPr>
            <w:tcW w:type="dxa" w:w="3264"/>
          </w:tcPr>
          <w:p>
            <w:pPr>
              <w:spacing w:after="40"/>
            </w:pPr>
            <w:r/>
            <w:r>
              <w:rPr>
                <w:b w:val="0"/>
                <w:i w:val="0"/>
              </w:rPr>
              <w:t>One path for screens, defaulting and validation alike; every rule keeps working unchanged.</w:t>
            </w:r>
          </w:p>
        </w:tc>
        <w:tc>
          <w:tcPr>
            <w:tcW w:type="dxa" w:w="3264"/>
          </w:tcPr>
          <w:p>
            <w:pPr>
              <w:spacing w:after="40"/>
            </w:pPr>
            <w:r/>
            <w:r>
              <w:rPr>
                <w:b w:val="0"/>
                <w:i w:val="0"/>
              </w:rPr>
              <w:t xml:space="preserve">Requires outbound HTTPS from the database — a privilege grant and a network rule that </w:t>
            </w:r>
            <w:r>
              <w:rPr>
                <w:b/>
                <w:i w:val="0"/>
              </w:rPr>
              <w:t>have not been requested or proven on this environment</w:t>
            </w:r>
            <w:r>
              <w:rPr>
                <w:b w:val="0"/>
                <w:i w:val="0"/>
              </w:rPr>
              <w:t>. Until they are, this option is not known to be available.</w:t>
            </w:r>
          </w:p>
        </w:tc>
      </w:tr>
    </w:tbl>
    <w:p/>
    <w:p>
      <w:r>
        <w:rPr>
          <w:b w:val="0"/>
          <w:i w:val="0"/>
          <w:color w:val="55657A"/>
        </w:rPr>
        <w:t>Either satisfies NFR-005. The choice decides how much of the rule enforcement can stay in the database, so it should be settled before the live reads are built — open item 22.</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 — one set, one flow</w:t>
      </w:r>
    </w:p>
    <w:p>
      <w:r>
        <w:rPr>
          <w:b/>
          <w:i w:val="0"/>
          <w:color w:val="C0392B"/>
        </w:rPr>
        <w:t>Five statuses, and the same five everywhere.</w:t>
      </w:r>
      <w:r>
        <w:rPr>
          <w:b w:val="0"/>
          <w:i w:val="0"/>
        </w:rPr>
        <w:t xml:space="preserve"> There is not a separate scheme for a day, a week and a month — whichever you are looking at, it is in exactly one of these.</w:t>
      </w:r>
    </w:p>
    <w:p>
      <w:r>
        <w:rPr>
          <w:b/>
          <w:i w:val="0"/>
          <w:color w:val="55657A"/>
        </w:rPr>
        <w:t>Overridden is no longer a status.</w:t>
      </w:r>
      <w:r>
        <w:rPr>
          <w:b w:val="0"/>
          <w:i w:val="0"/>
          <w:color w:val="55657A"/>
        </w:rPr>
        <w:t xml:space="preserve"> An override changes the hours; the outcome is still </w:t>
      </w:r>
      <w:r>
        <w:rPr>
          <w:b w:val="0"/>
          <w:i/>
          <w:color w:val="55657A"/>
        </w:rPr>
        <w:t>Approved</w:t>
      </w:r>
      <w:r>
        <w:rPr>
          <w:b w:val="0"/>
          <w:i w:val="0"/>
          <w:color w:val="55657A"/>
        </w:rPr>
        <w:t xml:space="preserve"> (or </w:t>
      </w:r>
      <w:r>
        <w:rPr>
          <w:b w:val="0"/>
          <w:i/>
          <w:color w:val="55657A"/>
        </w:rPr>
        <w:t>Rejected</w:t>
      </w:r>
      <w:r>
        <w:rPr>
          <w:b w:val="0"/>
          <w:i w:val="0"/>
          <w:color w:val="55657A"/>
        </w:rPr>
        <w:t>). That it was overridden is recorded by the flag, which is where it always belonged — a record was never meaningfully “in” the overridden state.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Status</w:t>
            </w:r>
          </w:p>
        </w:tc>
        <w:tc>
          <w:tcPr>
            <w:tcW w:type="dxa" w:w="4896"/>
            <w:shd w:val="clear" w:fill="F1F3F6"/>
          </w:tcPr>
          <w:p>
            <w:pPr>
              <w:spacing w:after="40"/>
            </w:pPr>
            <w:r/>
            <w:r>
              <w:rPr>
                <w:b/>
                <w:i w:val="0"/>
              </w:rPr>
              <w:t>Means</w:t>
            </w:r>
          </w:p>
        </w:tc>
      </w:tr>
      <w:tr>
        <w:tc>
          <w:tcPr>
            <w:tcW w:type="dxa" w:w="4896"/>
          </w:tcPr>
          <w:p>
            <w:pPr>
              <w:spacing w:after="40"/>
            </w:pPr>
            <w:r/>
            <w:r>
              <w:rPr>
                <w:b/>
                <w:i w:val="0"/>
              </w:rPr>
              <w:t>Not yet submitted</w:t>
            </w:r>
          </w:p>
        </w:tc>
        <w:tc>
          <w:tcPr>
            <w:tcW w:type="dxa" w:w="4896"/>
          </w:tcPr>
          <w:p>
            <w:pPr>
              <w:spacing w:after="40"/>
            </w:pPr>
            <w:r/>
            <w:r>
              <w:rPr>
                <w:b w:val="0"/>
                <w:i w:val="0"/>
              </w:rPr>
              <w:t>with the employee; still theirs to change</w:t>
            </w:r>
          </w:p>
        </w:tc>
      </w:tr>
      <w:tr>
        <w:tc>
          <w:tcPr>
            <w:tcW w:type="dxa" w:w="4896"/>
          </w:tcPr>
          <w:p>
            <w:pPr>
              <w:spacing w:after="40"/>
            </w:pPr>
            <w:r/>
            <w:r>
              <w:rPr>
                <w:b/>
                <w:i w:val="0"/>
              </w:rPr>
              <w:t>Submitted</w:t>
            </w:r>
          </w:p>
        </w:tc>
        <w:tc>
          <w:tcPr>
            <w:tcW w:type="dxa" w:w="4896"/>
          </w:tcPr>
          <w:p>
            <w:pPr>
              <w:spacing w:after="40"/>
            </w:pPr>
            <w:r/>
            <w:r>
              <w:rPr>
                <w:b w:val="0"/>
                <w:i w:val="0"/>
              </w:rPr>
              <w:t>with the manager, awaiting a decision; frozen to the employee</w:t>
            </w:r>
          </w:p>
        </w:tc>
      </w:tr>
      <w:tr>
        <w:tc>
          <w:tcPr>
            <w:tcW w:type="dxa" w:w="4896"/>
          </w:tcPr>
          <w:p>
            <w:pPr>
              <w:spacing w:after="40"/>
            </w:pPr>
            <w:r/>
            <w:r>
              <w:rPr>
                <w:b/>
                <w:i w:val="0"/>
              </w:rPr>
              <w:t>Approved</w:t>
            </w:r>
          </w:p>
        </w:tc>
        <w:tc>
          <w:tcPr>
            <w:tcW w:type="dxa" w:w="4896"/>
          </w:tcPr>
          <w:p>
            <w:pPr>
              <w:spacing w:after="40"/>
            </w:pPr>
            <w:r/>
            <w:r>
              <w:rPr>
                <w:b w:val="0"/>
                <w:i w:val="0"/>
              </w:rPr>
              <w:t>decided and accepted</w:t>
            </w:r>
          </w:p>
        </w:tc>
      </w:tr>
      <w:tr>
        <w:tc>
          <w:tcPr>
            <w:tcW w:type="dxa" w:w="4896"/>
          </w:tcPr>
          <w:p>
            <w:pPr>
              <w:spacing w:after="40"/>
            </w:pPr>
            <w:r/>
            <w:r>
              <w:rPr>
                <w:b/>
                <w:i w:val="0"/>
              </w:rPr>
              <w:t>Rejected</w:t>
            </w:r>
          </w:p>
        </w:tc>
        <w:tc>
          <w:tcPr>
            <w:tcW w:type="dxa" w:w="4896"/>
          </w:tcPr>
          <w:p>
            <w:pPr>
              <w:spacing w:after="40"/>
            </w:pPr>
            <w:r/>
            <w:r>
              <w:rPr>
                <w:b w:val="0"/>
                <w:i w:val="0"/>
              </w:rPr>
              <w:t>sent back with a reason; with the employee again</w:t>
            </w:r>
          </w:p>
        </w:tc>
      </w:tr>
      <w:tr>
        <w:tc>
          <w:tcPr>
            <w:tcW w:type="dxa" w:w="4896"/>
          </w:tcPr>
          <w:p>
            <w:pPr>
              <w:spacing w:after="40"/>
            </w:pPr>
            <w:r/>
            <w:r>
              <w:rPr>
                <w:b/>
                <w:i w:val="0"/>
              </w:rPr>
              <w:t>Defaulted</w:t>
            </w:r>
          </w:p>
        </w:tc>
        <w:tc>
          <w:tcPr>
            <w:tcW w:type="dxa" w:w="4896"/>
          </w:tcPr>
          <w:p>
            <w:pPr>
              <w:spacing w:after="40"/>
            </w:pPr>
            <w:r/>
            <w:r>
              <w:rPr>
                <w:b w:val="0"/>
                <w:i w:val="0"/>
              </w:rPr>
              <w:t>a cut-off filled it in because nobody did</w:t>
            </w:r>
          </w:p>
        </w:tc>
      </w:tr>
    </w:tbl>
    <w:p/>
    <w:p>
      <w:r>
        <w:rPr>
          <w:b w:val="0"/>
          <w:i w:val="0"/>
          <w:color w:val="55657A"/>
        </w:rPr>
        <w:t>The same five describe a single date, a week, or a whole month — the transitions do not change with the level. Approving one date and approving a week are the same transition applied to a different amount of the timesheet, which is why there is one flow in 7.2 rather than three.</w:t>
      </w:r>
    </w:p>
    <w:p>
      <w:pPr>
        <w:spacing w:before="120" w:after="160"/>
        <w:ind w:left="288"/>
        <w:pBdr>
          <w:left w:val="single" w:sz="18" w:space="8" w:color="D9A53C"/>
        </w:pBdr>
      </w:pPr>
      <w:r>
        <w:rPr>
          <w:b/>
          <w:i w:val="0"/>
          <w:sz w:val="19"/>
        </w:rPr>
        <w:t>Month confirmation is not a seventh status.</w:t>
      </w:r>
      <w:r>
        <w:rPr>
          <w:b w:val="0"/>
          <w:i w:val="0"/>
          <w:sz w:val="19"/>
        </w:rPr>
        <w:t xml:space="preserve"> Confirming a month is an event, recorded once in </w:t>
      </w:r>
      <w:r>
        <w:rPr>
          <w:rFonts w:ascii="Consolas" w:hAnsi="Consolas"/>
          <w:b w:val="0"/>
          <w:i w:val="0"/>
          <w:sz w:val="19"/>
        </w:rPr>
        <w:t>OC_TS_MONTH_CONFIRM</w:t>
      </w:r>
      <w:r>
        <w:rPr>
          <w:b w:val="0"/>
          <w:i w:val="0"/>
          <w:sz w:val="19"/>
        </w:rPr>
        <w:t xml:space="preserve"> together with how it was confirmed — normally, as an advance closure, or after being reopened. It leaves the weeks </w:t>
      </w:r>
      <w:r>
        <w:rPr>
          <w:b w:val="0"/>
          <w:i/>
          <w:sz w:val="19"/>
        </w:rPr>
        <w:t>Approved</w:t>
      </w:r>
      <w:r>
        <w:rPr>
          <w:b w:val="0"/>
          <w:i w:val="0"/>
          <w:sz w:val="19"/>
        </w:rPr>
        <w:t xml:space="preserve">. Anything needing to know whether a month has gone out should ask that table, not read it off a status. </w:t>
      </w:r>
      <w:r>
        <w:rPr>
          <w:sz w:val="19"/>
        </w:rPr>
        <w:br/>
      </w:r>
      <w:r>
        <w:rPr>
          <w:sz w:val="19"/>
        </w:rPr>
        <w:br/>
      </w:r>
      <w:r>
        <w:rPr>
          <w:b/>
          <w:i w:val="0"/>
          <w:sz w:val="19"/>
        </w:rPr>
        <w:t>“Closed” is gone.</w:t>
      </w:r>
      <w:r>
        <w:rPr>
          <w:b w:val="0"/>
          <w:i w:val="0"/>
          <w:sz w:val="19"/>
        </w:rPr>
        <w:t xml:space="preserve"> The model ends at </w:t>
      </w:r>
      <w:r>
        <w:rPr>
          <w:b w:val="0"/>
          <w:i/>
          <w:sz w:val="19"/>
        </w:rPr>
        <w:t>Approved</w:t>
      </w:r>
      <w:r>
        <w:rPr>
          <w:b w:val="0"/>
          <w:i w:val="0"/>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i w:val="0"/>
          <w:sz w:val="19"/>
        </w:rPr>
        <w:t>The schema still holds these separately.</w:t>
      </w:r>
      <w:r>
        <w:rPr>
          <w:b w:val="0"/>
          <w:i w:val="0"/>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b w:val="0"/>
          <w:i/>
          <w:sz w:val="19"/>
        </w:rPr>
        <w:t>schema</w:t>
      </w:r>
      <w:r>
        <w:rPr>
          <w:b w:val="0"/>
          <w:i w:val="0"/>
          <w:sz w:val="19"/>
        </w:rPr>
        <w:t xml:space="preserve"> agree with it is a separate change — open item 21.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Any number apply at once, and a record is never </w:t>
      </w:r>
      <w:r>
        <w:rPr>
          <w:b w:val="0"/>
          <w:i/>
        </w:rPr>
        <w:t>in</w:t>
      </w:r>
      <w:r>
        <w:rPr>
          <w:b w:val="0"/>
          <w:i w:val="0"/>
        </w:rPr>
        <w:t xml:space="preserve"> a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color w:val="C0392B"/>
              </w:rPr>
              <w:t>Overridden</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before approving them. The employee’s original value is retained in the audit trail. </w:t>
            </w:r>
            <w:r>
              <w:rPr>
                <w:b w:val="0"/>
                <w:i w:val="0"/>
                <w:color w:val="C0392B"/>
              </w:rPr>
              <w:t xml:space="preserve">A flag only — the resulting status is </w:t>
            </w:r>
            <w:r>
              <w:rPr>
                <w:b w:val="0"/>
                <w:i/>
                <w:color w:val="C0392B"/>
              </w:rPr>
              <w:t>Approved</w:t>
            </w:r>
            <w:r>
              <w:rPr>
                <w:b w:val="0"/>
                <w:i w:val="0"/>
                <w:color w:val="C0392B"/>
              </w:rPr>
              <w:t>.</w:t>
            </w:r>
          </w:p>
        </w:tc>
      </w:tr>
      <w:tr>
        <w:tc>
          <w:tcPr>
            <w:tcW w:type="dxa" w:w="2448"/>
          </w:tcPr>
          <w:p>
            <w:pPr>
              <w:spacing w:after="40"/>
            </w:pPr>
            <w:r/>
            <w:r>
              <w:rPr>
                <w:b/>
                <w:i w:val="0"/>
                <w:color w:val="C0392B"/>
              </w:rPr>
              <w:t>Revoked</w:t>
            </w:r>
          </w:p>
        </w:tc>
        <w:tc>
          <w:tcPr>
            <w:tcW w:type="dxa" w:w="2448"/>
          </w:tcPr>
          <w:p>
            <w:pPr>
              <w:spacing w:after="40"/>
            </w:pPr>
            <w:r/>
            <w:r>
              <w:rPr>
                <w:rFonts w:ascii="Consolas" w:hAnsi="Consolas"/>
                <w:b w:val="0"/>
                <w:i w:val="0"/>
                <w:color w:val="C0392B"/>
                <w:sz w:val="18"/>
              </w:rPr>
              <w:t>REVOKED_FLAG</w:t>
            </w:r>
          </w:p>
        </w:tc>
        <w:tc>
          <w:tcPr>
            <w:tcW w:type="dxa" w:w="2448"/>
          </w:tcPr>
          <w:p>
            <w:pPr>
              <w:spacing w:after="40"/>
            </w:pPr>
            <w:r/>
            <w:r>
              <w:rPr>
                <w:b w:val="0"/>
                <w:i w:val="0"/>
                <w:color w:val="C0392B"/>
              </w:rPr>
              <w:t>a submission is pulled back, or a decision is undone</w:t>
            </w:r>
          </w:p>
        </w:tc>
        <w:tc>
          <w:tcPr>
            <w:tcW w:type="dxa" w:w="2448"/>
          </w:tcPr>
          <w:p>
            <w:pPr>
              <w:spacing w:after="40"/>
            </w:pPr>
            <w:r/>
            <w:r>
              <w:rPr>
                <w:b w:val="0"/>
                <w:i w:val="0"/>
                <w:color w:val="C0392B"/>
              </w:rPr>
              <w:t xml:space="preserve">Records that it went backwards — the submitter withdrew it, or an approver undid their own decision. A flag and not a status, because the record returns to a status it already has: withdrawing puts it back to </w:t>
            </w:r>
            <w:r>
              <w:rPr>
                <w:b w:val="0"/>
                <w:i/>
                <w:color w:val="C0392B"/>
              </w:rPr>
              <w:t>Not yet submitted</w:t>
            </w:r>
            <w:r>
              <w:rPr>
                <w:b w:val="0"/>
                <w:i w:val="0"/>
                <w:color w:val="C0392B"/>
              </w:rPr>
              <w:t xml:space="preserve">, undoing a decision puts it back to </w:t>
            </w:r>
            <w:r>
              <w:rPr>
                <w:b w:val="0"/>
                <w:i/>
                <w:color w:val="C0392B"/>
              </w:rPr>
              <w:t>Submitted</w:t>
            </w:r>
            <w:r>
              <w:rPr>
                <w:b w:val="0"/>
                <w:i w:val="0"/>
                <w:color w:val="C0392B"/>
              </w:rPr>
              <w:t>. Never cleared.</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Seven flags</w:t>
      </w:r>
      <w:r>
        <w:rPr>
          <w:b w:val="0"/>
          <w:i w:val="0"/>
          <w:color w:val="55657A"/>
        </w:rPr>
        <w:t xml:space="preserve">, and the diagram in 7 shows which event raises each. There is no separate “Locked” flag — locking is what a submitter-side </w:t>
      </w:r>
      <w:r>
        <w:rPr>
          <w:b w:val="0"/>
          <w:i/>
          <w:color w:val="55657A"/>
        </w:rPr>
        <w:t>Defaulted</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color w:val="C0392B"/>
        </w:rPr>
        <w:t>One value is both.</w:t>
      </w:r>
      <w:r>
        <w:rPr>
          <w:b w:val="0"/>
          <w:i w:val="0"/>
          <w:color w:val="C0392B"/>
        </w:rPr>
        <w:t xml:space="preserve">Only </w:t>
      </w:r>
      <w:r>
        <w:rPr>
          <w:b w:val="0"/>
          <w:i/>
          <w:color w:val="C0392B"/>
        </w:rPr>
        <w:t>Defaulted</w:t>
      </w:r>
      <w:r>
        <w:rPr>
          <w:b w:val="0"/>
          <w:i w:val="0"/>
          <w:color w:val="C0392B"/>
        </w:rPr>
        <w:t xml:space="preserve"> is a status and a flag. The status says what it is now; the flag says it happened at all and survives a later transition — something defaulted and then approved reads </w:t>
      </w:r>
      <w:r>
        <w:rPr>
          <w:rFonts w:ascii="Consolas" w:hAnsi="Consolas"/>
          <w:b w:val="0"/>
          <w:i w:val="0"/>
          <w:color w:val="C0392B"/>
          <w:sz w:val="18"/>
        </w:rPr>
        <w:t>Approved</w:t>
      </w:r>
      <w:r>
        <w:rPr>
          <w:b w:val="0"/>
          <w:i w:val="0"/>
          <w:color w:val="C0392B"/>
        </w:rPr>
        <w:t xml:space="preserve"> with the defaulted flag still set. </w:t>
      </w:r>
      <w:r>
        <w:rPr>
          <w:b w:val="0"/>
          <w:i/>
          <w:color w:val="C0392B"/>
        </w:rPr>
        <w:t>Overridden</w:t>
      </w:r>
      <w:r>
        <w:rPr>
          <w:b w:val="0"/>
          <w:i w:val="0"/>
          <w:color w:val="C0392B"/>
        </w:rPr>
        <w:t xml:space="preserve"> used to be both; it is now a flag only.</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 xml:space="preserve">row is a Reversal → row is an Adjustment → Advance closure → </w:t>
      </w:r>
      <w:r>
        <w:rPr>
          <w:b w:val="0"/>
          <w:i w:val="0"/>
          <w:color w:val="C0392B"/>
        </w:rPr>
        <w:t>Overridden</w:t>
      </w:r>
      <w:r>
        <w:rPr>
          <w:b w:val="0"/>
          <w:i w:val="0"/>
        </w:rPr>
        <w:t xml:space="preserve"> → Defaulted → </w:t>
      </w:r>
      <w:r>
        <w:rPr>
          <w:b w:val="0"/>
          <w:i w:val="0"/>
          <w:color w:val="C0392B"/>
        </w:rPr>
        <w:t>Revoked</w:t>
      </w:r>
      <w:r>
        <w:rPr>
          <w:b w:val="0"/>
          <w:i w:val="0"/>
        </w:rPr>
        <w:t xml:space="preserve"> → Late submission → none.</w:t>
      </w:r>
    </w:p>
    <w:p>
      <w:pPr>
        <w:pStyle w:val="Heading3"/>
      </w:pPr>
      <w:r>
        <w:t>Where it is stored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status and all six flags for a week,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b w:val="0"/>
                <w:i w:val="0"/>
              </w:rPr>
              <w:t xml:space="preserve">status for a single date, from the same set;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 </w:t>
            </w:r>
            <w:r>
              <w:rPr>
                <w:b/>
                <w:i w:val="0"/>
                <w:color w:val="C0392B"/>
              </w:rPr>
              <w:t>Manager approval is not required to write here</w:t>
            </w:r>
            <w:r>
              <w:rPr>
                <w:b w:val="0"/>
                <w:i w:val="0"/>
                <w:color w:val="C0392B"/>
              </w:rPr>
              <w:t xml:space="preserve"> — see the note under this table.</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Decision, 06-Aug-2026 — accrual does not wait for approval.</w:t>
      </w:r>
      <w:r>
        <w:rPr>
          <w:b w:val="0"/>
          <w:i w:val="0"/>
          <w:sz w:val="19"/>
        </w:rPr>
        <w:t xml:space="preserve"> Hours are written to the accrual staging table </w:t>
      </w:r>
      <w:r>
        <w:rPr>
          <w:b/>
          <w:i w:val="0"/>
          <w:sz w:val="19"/>
        </w:rPr>
        <w:t>whether or not a manager has approved them</w:t>
      </w:r>
      <w:r>
        <w:rPr>
          <w:b w:val="0"/>
          <w:i w:val="0"/>
          <w:sz w:val="19"/>
        </w:rPr>
        <w:t xml:space="preserve">. An accrual is an estimate of work performed; unapproved hours have still been worked, and holding them back would understate the position for the only reason that somebody has not clicked yet. </w:t>
      </w:r>
      <w:r>
        <w:rPr>
          <w:sz w:val="19"/>
        </w:rPr>
        <w:br/>
      </w:r>
      <w:r>
        <w:rPr>
          <w:sz w:val="19"/>
        </w:rPr>
        <w:br/>
      </w:r>
      <w:r>
        <w:rPr>
          <w:b/>
          <w:i w:val="0"/>
          <w:sz w:val="19"/>
        </w:rPr>
        <w:t>This does not change the Project Costing post.</w:t>
      </w:r>
      <w:r>
        <w:rPr>
          <w:b w:val="0"/>
          <w:i w:val="0"/>
          <w:sz w:val="19"/>
        </w:rPr>
        <w:t xml:space="preserve"> That one still sends approved entries only (§4.2) — a cost booked against a project is a financial fact and needs the decision behind it. So the two outbound paths now have </w:t>
      </w:r>
      <w:r>
        <w:rPr>
          <w:b w:val="0"/>
          <w:i/>
          <w:sz w:val="19"/>
        </w:rPr>
        <w:t>different</w:t>
      </w:r>
      <w:r>
        <w:rPr>
          <w:b w:val="0"/>
          <w:i w:val="0"/>
          <w:sz w:val="19"/>
        </w:rPr>
        <w:t xml:space="preserve"> gates, which is deliberate rather than an inconsistency: an accrual may be revised, a cost may not. </w:t>
      </w:r>
      <w:r>
        <w:rPr>
          <w:sz w:val="19"/>
        </w:rPr>
        <w:br/>
      </w:r>
      <w:r>
        <w:rPr>
          <w:sz w:val="19"/>
        </w:rPr>
        <w:br/>
      </w:r>
      <w:r>
        <w:rPr>
          <w:b/>
          <w:i w:val="0"/>
          <w:sz w:val="19"/>
        </w:rPr>
        <w:t>Consequences to settle.</w:t>
      </w:r>
      <w:r>
        <w:rPr>
          <w:b w:val="0"/>
          <w:i w:val="0"/>
          <w:sz w:val="19"/>
        </w:rPr>
        <w:t xml:space="preserve"> The staging row must carry the </w:t>
      </w:r>
      <w:r>
        <w:rPr>
          <w:b/>
          <w:i w:val="0"/>
          <w:sz w:val="19"/>
        </w:rPr>
        <w:t>status</w:t>
      </w:r>
      <w:r>
        <w:rPr>
          <w:b w:val="0"/>
          <w:i w:val="0"/>
          <w:sz w:val="19"/>
        </w:rPr>
        <w:t xml:space="preserve"> of the hours it reports, or accrual cannot tell an approved figure from a provisional one and cannot true up later — that belongs in the structure the accrual side is defining. And if unapproved hours can go, the trigger is no longer “month confirmed” by definition; whether the table is filled at confirmation anyway, on a schedule, or continuously as time is entered is </w:t>
      </w:r>
      <w:r>
        <w:rPr>
          <w:b/>
          <w:i w:val="0"/>
          <w:sz w:val="19"/>
        </w:rPr>
        <w:t>not yet decided</w:t>
      </w:r>
      <w:r>
        <w:rPr>
          <w:b w:val="0"/>
          <w:i w:val="0"/>
          <w:sz w:val="19"/>
        </w:rPr>
        <w:t xml:space="preserve"> — open item 23. RULE-020, which requires every week approved before a month may be confirmed, still stands for confirmation itself; it simply no longer gates this table. </w:t>
      </w:r>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status is Approved, in a month that has been confirmed. </w:t>
      </w:r>
      <w:r>
        <w:rPr>
          <w:b w:val="0"/>
          <w:i w:val="0"/>
          <w:color w:val="C0392B"/>
        </w:rPr>
        <w:t>This is where costing differs from accrual: the accrual staging table takes hours whether approved or not (§3.5), because an accrual is an estimate and a cost is a financial fact. Two outbound paths, two gates, deliberately.</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status set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color w:val="C0392B"/>
              </w:rPr>
              <w:t xml:space="preserve">Keep </w:t>
            </w:r>
            <w:r>
              <w:rPr>
                <w:b w:val="0"/>
                <w:i/>
                <w:color w:val="C0392B"/>
              </w:rPr>
              <w:t>Defaulted</w:t>
            </w:r>
            <w:r>
              <w:rPr>
                <w:b w:val="0"/>
                <w:i w:val="0"/>
                <w:color w:val="C0392B"/>
              </w:rPr>
              <w:t xml:space="preserve"> / </w:t>
            </w:r>
            <w:r>
              <w:rPr>
                <w:b w:val="0"/>
                <w:i/>
                <w:color w:val="C0392B"/>
              </w:rPr>
              <w:t>Overridden</w:t>
            </w:r>
            <w:r>
              <w:rPr>
                <w:b w:val="0"/>
                <w:i w:val="0"/>
                <w:color w:val="C0392B"/>
              </w:rPr>
              <w:t xml:space="preserve"> as both status and flag?</w:t>
            </w:r>
            <w:r>
              <w:rPr>
                <w:b w:val="0"/>
                <w:i/>
                <w:color w:val="C0392B"/>
              </w:rPr>
              <w:t>Overridden</w:t>
            </w:r>
            <w:r>
              <w:rPr>
                <w:b w:val="0"/>
                <w:i w:val="0"/>
                <w:color w:val="C0392B"/>
              </w:rPr>
              <w:t xml:space="preserve"> settled 06-Aug-2026 — flag only. Remaining: keep </w:t>
            </w:r>
            <w:r>
              <w:rPr>
                <w:b w:val="0"/>
                <w:i/>
                <w:color w:val="C0392B"/>
              </w:rPr>
              <w:t>Defaulted</w:t>
            </w:r>
            <w:r>
              <w:rPr>
                <w:b w:val="0"/>
                <w:i w:val="0"/>
                <w:color w:val="C0392B"/>
              </w:rPr>
              <w:t xml:space="preserve"> as both,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§7.3).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r>
        <w:tc>
          <w:tcPr>
            <w:tcW w:type="dxa" w:w="3264"/>
          </w:tcPr>
          <w:p>
            <w:pPr>
              <w:spacing w:after="40"/>
            </w:pPr>
            <w:r/>
            <w:r>
              <w:rPr>
                <w:b w:val="0"/>
                <w:i w:val="0"/>
              </w:rPr>
              <w:t>21</w:t>
            </w:r>
          </w:p>
        </w:tc>
        <w:tc>
          <w:tcPr>
            <w:tcW w:type="dxa" w:w="3264"/>
          </w:tcPr>
          <w:p>
            <w:pPr>
              <w:spacing w:after="40"/>
            </w:pPr>
            <w:r/>
            <w:r>
              <w:rPr>
                <w:b/>
                <w:i w:val="0"/>
              </w:rPr>
              <w:t>Make the schema match the single status set</w:t>
            </w:r>
            <w:r>
              <w:rPr>
                <w:b w:val="0"/>
                <w:i w:val="0"/>
              </w:rPr>
              <w:t xml:space="preserve"> — the week, day, month and retro-adjustment statuses are separate columns with different permitted values today (§3.2)</w:t>
            </w:r>
          </w:p>
        </w:tc>
        <w:tc>
          <w:tcPr>
            <w:tcW w:type="dxa" w:w="3264"/>
          </w:tcPr>
          <w:p>
            <w:pPr>
              <w:spacing w:after="40"/>
            </w:pPr>
            <w:r/>
            <w:r>
              <w:rPr>
                <w:b w:val="0"/>
                <w:i w:val="0"/>
              </w:rPr>
              <w:t>build</w:t>
            </w:r>
          </w:p>
        </w:tc>
      </w:tr>
      <w:tr>
        <w:tc>
          <w:tcPr>
            <w:tcW w:type="dxa" w:w="3264"/>
          </w:tcPr>
          <w:p>
            <w:pPr>
              <w:spacing w:after="40"/>
            </w:pPr>
            <w:r/>
            <w:r>
              <w:rPr>
                <w:b w:val="0"/>
                <w:i w:val="0"/>
              </w:rPr>
              <w:t>22</w:t>
            </w:r>
          </w:p>
        </w:tc>
        <w:tc>
          <w:tcPr>
            <w:tcW w:type="dxa" w:w="3264"/>
          </w:tcPr>
          <w:p>
            <w:pPr>
              <w:spacing w:after="40"/>
            </w:pPr>
            <w:r/>
            <w:r>
              <w:rPr>
                <w:b/>
                <w:i w:val="0"/>
              </w:rPr>
              <w:t>Where the live Fusion call is made from</w:t>
            </w:r>
            <w:r>
              <w:rPr>
                <w:b w:val="0"/>
                <w:i w:val="0"/>
              </w:rPr>
              <w:t xml:space="preserve"> — the page through the server-side proxy, or the database (§2.4). Decides how much rule enforcement can stay in the database; the database option needs a privilege grant that has not been proven here.</w:t>
            </w:r>
          </w:p>
        </w:tc>
        <w:tc>
          <w:tcPr>
            <w:tcW w:type="dxa" w:w="3264"/>
          </w:tcPr>
          <w:p>
            <w:pPr>
              <w:spacing w:after="40"/>
            </w:pPr>
            <w:r/>
            <w:r>
              <w:rPr>
                <w:b w:val="0"/>
                <w:i w:val="0"/>
              </w:rPr>
              <w:t>build decision — needs a spike</w:t>
            </w:r>
          </w:p>
        </w:tc>
      </w:tr>
      <w:tr>
        <w:tc>
          <w:tcPr>
            <w:tcW w:type="dxa" w:w="3264"/>
          </w:tcPr>
          <w:p>
            <w:pPr>
              <w:spacing w:after="40"/>
            </w:pPr>
            <w:r/>
            <w:r>
              <w:rPr>
                <w:b w:val="0"/>
                <w:i w:val="0"/>
              </w:rPr>
              <w:t>23</w:t>
            </w:r>
          </w:p>
        </w:tc>
        <w:tc>
          <w:tcPr>
            <w:tcW w:type="dxa" w:w="3264"/>
          </w:tcPr>
          <w:p>
            <w:pPr>
              <w:spacing w:after="40"/>
            </w:pPr>
            <w:r/>
            <w:r>
              <w:rPr>
                <w:b/>
                <w:i w:val="0"/>
                <w:color w:val="C0392B"/>
              </w:rPr>
              <w:t>What triggers the accrual write, now that approval does not</w:t>
            </w:r>
            <w:r>
              <w:rPr>
                <w:b w:val="0"/>
                <w:i w:val="0"/>
                <w:color w:val="C0392B"/>
              </w:rPr>
              <w:t xml:space="preserve"> — at month confirmation anyway, on a schedule, or continuously as time is entered? And the staging row must carry the status of the hours it reports so accrual can true up (§3.5).</w:t>
            </w:r>
          </w:p>
        </w:tc>
        <w:tc>
          <w:tcPr>
            <w:tcW w:type="dxa" w:w="3264"/>
          </w:tcPr>
          <w:p>
            <w:pPr>
              <w:spacing w:after="40"/>
            </w:pPr>
            <w:r/>
            <w:r>
              <w:rPr>
                <w:b w:val="0"/>
                <w:i w:val="0"/>
                <w:color w:val="C0392B"/>
              </w:rPr>
              <w:t>functional + accrual team</w:t>
            </w:r>
          </w:p>
        </w:tc>
      </w:tr>
      <w:tr>
        <w:tc>
          <w:tcPr>
            <w:tcW w:type="dxa" w:w="3264"/>
          </w:tcPr>
          <w:p>
            <w:pPr>
              <w:spacing w:after="40"/>
            </w:pPr>
            <w:r/>
            <w:r>
              <w:rPr>
                <w:b w:val="0"/>
                <w:i w:val="0"/>
              </w:rPr>
              <w:t>24</w:t>
            </w:r>
          </w:p>
        </w:tc>
        <w:tc>
          <w:tcPr>
            <w:tcW w:type="dxa" w:w="3264"/>
          </w:tcPr>
          <w:p>
            <w:pPr>
              <w:spacing w:after="40"/>
            </w:pPr>
            <w:r/>
            <w:r>
              <w:rPr>
                <w:b/>
                <w:i w:val="0"/>
                <w:color w:val="C0392B"/>
              </w:rPr>
              <w:t>Which month a retro adjustment accrues to</w:t>
            </w:r>
            <w:r>
              <w:rPr>
                <w:b w:val="0"/>
                <w:i w:val="0"/>
                <w:color w:val="C0392B"/>
              </w:rPr>
              <w:t xml:space="preserve"> — the module records the posting period on the adjustment and never puts it on the interface row, so the consumer must infer it from the action date. Add an explicit accrual period to the staging structure (§8.3).</w:t>
            </w:r>
          </w:p>
        </w:tc>
        <w:tc>
          <w:tcPr>
            <w:tcW w:type="dxa" w:w="3264"/>
          </w:tcPr>
          <w:p>
            <w:pPr>
              <w:spacing w:after="40"/>
            </w:pPr>
            <w:r/>
            <w:r>
              <w:rPr>
                <w:b w:val="0"/>
                <w:i w:val="0"/>
                <w:color w:val="C0392B"/>
              </w:rPr>
              <w:t>functional + accrual team</w:t>
            </w:r>
          </w:p>
        </w:tc>
      </w:tr>
      <w:tr>
        <w:tc>
          <w:tcPr>
            <w:tcW w:type="dxa" w:w="3264"/>
          </w:tcPr>
          <w:p>
            <w:pPr>
              <w:spacing w:after="40"/>
            </w:pPr>
            <w:r/>
            <w:r>
              <w:rPr>
                <w:b w:val="0"/>
                <w:i w:val="0"/>
              </w:rPr>
              <w:t>25</w:t>
            </w:r>
          </w:p>
        </w:tc>
        <w:tc>
          <w:tcPr>
            <w:tcW w:type="dxa" w:w="3264"/>
          </w:tcPr>
          <w:p>
            <w:pPr>
              <w:spacing w:after="40"/>
            </w:pPr>
            <w:r/>
            <w:r>
              <w:rPr>
                <w:b/>
                <w:i w:val="0"/>
                <w:color w:val="C0392B"/>
              </w:rPr>
              <w:t>The staging row must carry the status of the hours</w:t>
            </w:r>
            <w:r>
              <w:rPr>
                <w:b w:val="0"/>
                <w:i w:val="0"/>
                <w:color w:val="C0392B"/>
              </w:rPr>
              <w:t xml:space="preserve"> — without it accrual cannot tell provisional from final, and cannot true up once approval arrives (§8.3).</w:t>
            </w:r>
          </w:p>
        </w:tc>
        <w:tc>
          <w:tcPr>
            <w:tcW w:type="dxa" w:w="3264"/>
          </w:tcPr>
          <w:p>
            <w:pPr>
              <w:spacing w:after="40"/>
            </w:pPr>
            <w:r/>
            <w:r>
              <w:rPr>
                <w:b w:val="0"/>
                <w:i w:val="0"/>
                <w:color w:val="C0392B"/>
              </w:rPr>
              <w:t>build</w:t>
            </w:r>
          </w:p>
        </w:tc>
      </w:tr>
      <w:tr>
        <w:tc>
          <w:tcPr>
            <w:tcW w:type="dxa" w:w="3264"/>
          </w:tcPr>
          <w:p>
            <w:pPr>
              <w:spacing w:after="40"/>
            </w:pPr>
            <w:r/>
            <w:r>
              <w:rPr>
                <w:b w:val="0"/>
                <w:i w:val="0"/>
              </w:rPr>
              <w:t>26</w:t>
            </w:r>
          </w:p>
        </w:tc>
        <w:tc>
          <w:tcPr>
            <w:tcW w:type="dxa" w:w="3264"/>
          </w:tcPr>
          <w:p>
            <w:pPr>
              <w:spacing w:after="40"/>
            </w:pPr>
            <w:r/>
            <w:r>
              <w:rPr>
                <w:b w:val="0"/>
                <w:i w:val="0"/>
                <w:color w:val="C0392B"/>
              </w:rPr>
              <w:t>Re-confirming a month marks the confirmation pending again while rows the consumer already took are still marked processed (§8.3).</w:t>
            </w:r>
          </w:p>
        </w:tc>
        <w:tc>
          <w:tcPr>
            <w:tcW w:type="dxa" w:w="3264"/>
          </w:tcPr>
          <w:p>
            <w:pPr>
              <w:spacing w:after="40"/>
            </w:pPr>
            <w:r/>
            <w:r>
              <w:rPr>
                <w:b w:val="0"/>
                <w:i w:val="0"/>
                <w:color w:val="C0392B"/>
              </w:rPr>
              <w:t>build — minor</w:t>
            </w:r>
          </w:p>
        </w:tc>
      </w:tr>
      <w:tr>
        <w:tc>
          <w:tcPr>
            <w:tcW w:type="dxa" w:w="3264"/>
          </w:tcPr>
          <w:p>
            <w:pPr>
              <w:spacing w:after="40"/>
            </w:pPr>
            <w:r/>
            <w:r>
              <w:rPr>
                <w:b w:val="0"/>
                <w:i w:val="0"/>
              </w:rPr>
              <w:t>27</w:t>
            </w:r>
          </w:p>
        </w:tc>
        <w:tc>
          <w:tcPr>
            <w:tcW w:type="dxa" w:w="3264"/>
          </w:tcPr>
          <w:p>
            <w:pPr>
              <w:spacing w:after="40"/>
            </w:pPr>
            <w:r/>
            <w:r>
              <w:rPr>
                <w:b w:val="0"/>
                <w:i w:val="0"/>
                <w:color w:val="C0392B"/>
              </w:rPr>
              <w:t>Nothing enforces that a post-accrual change goes through an adjustment. The duplicate guard tests existence, not value, so a direct change after accrual would never reach the consumer (§8.3).</w:t>
            </w:r>
          </w:p>
        </w:tc>
        <w:tc>
          <w:tcPr>
            <w:tcW w:type="dxa" w:w="3264"/>
          </w:tcPr>
          <w:p>
            <w:pPr>
              <w:spacing w:after="40"/>
            </w:pPr>
            <w:r/>
            <w:r>
              <w:rPr>
                <w:b w:val="0"/>
                <w:i w:val="0"/>
                <w:color w:val="C0392B"/>
              </w:rPr>
              <w:t>build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p>
      <w:pPr>
        <w:jc w:val="center"/>
      </w:pPr>
      <w:r>
        <w:drawing>
          <wp:inline xmlns:a="http://schemas.openxmlformats.org/drawingml/2006/main" xmlns:pic="http://schemas.openxmlformats.org/drawingml/2006/picture">
            <wp:extent cx="5760720" cy="45092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4509253"/>
                    </a:xfrm>
                    <a:prstGeom prst="rect"/>
                  </pic:spPr>
                </pic:pic>
              </a:graphicData>
            </a:graphic>
          </wp:inline>
        </w:drawing>
      </w:r>
    </w:p>
    <w:p>
      <w:pPr>
        <w:jc w:val="center"/>
      </w:pPr>
      <w:r>
        <w:rPr>
          <w:b w:val="0"/>
          <w:i/>
          <w:color w:val="55657A"/>
          <w:sz w:val="17"/>
        </w:rPr>
        <w:t>Flow 1 — inbound. Everything read live from Fusion, and what each read feeds.</w:t>
      </w:r>
    </w:p>
    <w:p>
      <w:pPr>
        <w:pStyle w:val="Heading3"/>
      </w:pPr>
      <w:r>
        <w:t>Actors — who does what, and which flag it raises</w:t>
      </w:r>
    </w:p>
    <w:p>
      <w:r>
        <w:rPr>
          <w:b w:val="0"/>
          <w:i w:val="0"/>
          <w:color w:val="55657A"/>
        </w:rPr>
        <w:t>The same lifecycle by actor rather than by state, including the cut-off jobs that act with no actor at all. Every action carries the flag it raises.</w:t>
      </w:r>
    </w:p>
    <w:p>
      <w:pPr>
        <w:jc w:val="center"/>
      </w:pPr>
      <w:r>
        <w:drawing>
          <wp:inline xmlns:a="http://schemas.openxmlformats.org/drawingml/2006/main" xmlns:pic="http://schemas.openxmlformats.org/drawingml/2006/picture">
            <wp:extent cx="5760720" cy="643611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6436115"/>
                    </a:xfrm>
                    <a:prstGeom prst="rect"/>
                  </pic:spPr>
                </pic:pic>
              </a:graphicData>
            </a:graphic>
          </wp:inline>
        </w:drawing>
      </w:r>
    </w:p>
    <w:p>
      <w:pPr>
        <w:jc w:val="center"/>
      </w:pPr>
      <w:r>
        <w:rPr>
          <w:b w:val="0"/>
          <w:i/>
          <w:color w:val="55657A"/>
          <w:sz w:val="17"/>
        </w:rPr>
        <w:t xml:space="preserve">Actors — statuses on the arrows, flags in brackets. </w:t>
      </w:r>
      <w:r>
        <w:rPr>
          <w:b/>
          <w:i/>
          <w:color w:val="55657A"/>
          <w:sz w:val="17"/>
        </w:rPr>
        <w:t>Defaulted has an origin on both sides:</w:t>
      </w:r>
      <w:r>
        <w:rPr>
          <w:b w:val="0"/>
          <w:i/>
          <w:color w:val="55657A"/>
          <w:sz w:val="17"/>
        </w:rPr>
        <w:t xml:space="preserve"> the employee who never submitted, and the submitted week nobody decided. The two thick arrows are the normal run and carry no flag.</w:t>
      </w:r>
    </w:p>
    <w:p>
      <w:pPr>
        <w:pStyle w:val="Heading3"/>
      </w:pPr>
      <w:r>
        <w:t>Lifecycle — status and the flags each event raises</w:t>
      </w:r>
    </w:p>
    <w:p>
      <w:r>
        <w:rPr>
          <w:b w:val="0"/>
          <w:i w:val="0"/>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pPr>
        <w:jc w:val="center"/>
      </w:pPr>
      <w:r>
        <w:drawing>
          <wp:inline xmlns:a="http://schemas.openxmlformats.org/drawingml/2006/main" xmlns:pic="http://schemas.openxmlformats.org/drawingml/2006/picture">
            <wp:extent cx="5760720" cy="67109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6710908"/>
                    </a:xfrm>
                    <a:prstGeom prst="rect"/>
                  </pic:spPr>
                </pic:pic>
              </a:graphicData>
            </a:graphic>
          </wp:inline>
        </w:drawing>
      </w:r>
    </w:p>
    <w:p>
      <w:pPr>
        <w:jc w:val="center"/>
      </w:pPr>
      <w:r>
        <w:rPr>
          <w:b w:val="0"/>
          <w:i/>
          <w:color w:val="55657A"/>
          <w:sz w:val="17"/>
        </w:rPr>
        <w:t>Lifecycle — the six statuses, with the flag each event raises shown on the edge.</w:t>
      </w:r>
    </w:p>
    <w:p>
      <w:r>
        <w:rPr>
          <w:b/>
          <w:i w:val="0"/>
          <w:color w:val="55657A"/>
        </w:rPr>
        <w:t>The flags each event raises:</w:t>
      </w:r>
      <w:r>
        <w:rPr>
          <w:b w:val="0"/>
          <w:i w:val="0"/>
          <w:color w:val="55657A"/>
        </w:rPr>
        <w:t xml:space="preserve"> submitting late raises </w:t>
      </w:r>
      <w:r>
        <w:rPr>
          <w:b w:val="0"/>
          <w:i/>
          <w:color w:val="55657A"/>
        </w:rPr>
        <w:t>Late submission</w:t>
      </w:r>
      <w:r>
        <w:rPr>
          <w:b w:val="0"/>
          <w:i w:val="0"/>
          <w:color w:val="55657A"/>
        </w:rPr>
        <w:t xml:space="preserve">; a cut-off raises </w:t>
      </w:r>
      <w:r>
        <w:rPr>
          <w:b w:val="0"/>
          <w:i/>
          <w:color w:val="55657A"/>
        </w:rPr>
        <w:t>Defaulted</w:t>
      </w:r>
      <w:r>
        <w:rPr>
          <w:b w:val="0"/>
          <w:i w:val="0"/>
          <w:color w:val="55657A"/>
        </w:rPr>
        <w:t xml:space="preserve"> and, if it was the submitter’s deadline, locks further edits; overriding raises </w:t>
      </w:r>
      <w:r>
        <w:rPr>
          <w:b w:val="0"/>
          <w:i/>
          <w:color w:val="55657A"/>
        </w:rPr>
        <w:t>Overridden &amp; approved</w:t>
      </w:r>
      <w:r>
        <w:rPr>
          <w:b w:val="0"/>
          <w:i w:val="0"/>
          <w:color w:val="55657A"/>
        </w:rPr>
        <w:t xml:space="preserve">; closing ahead of the cut-off raises </w:t>
      </w:r>
      <w:r>
        <w:rPr>
          <w:b w:val="0"/>
          <w:i/>
          <w:color w:val="55657A"/>
        </w:rPr>
        <w:t>Advance closure</w:t>
      </w:r>
      <w:r>
        <w:rPr>
          <w:b w:val="0"/>
          <w:i w:val="0"/>
          <w:color w:val="55657A"/>
        </w:rPr>
        <w:t xml:space="preserve">. </w:t>
      </w:r>
      <w:r>
        <w:rPr>
          <w:b w:val="0"/>
          <w:i/>
          <w:color w:val="55657A"/>
        </w:rPr>
        <w:t>Reversal</w:t>
      </w:r>
      <w:r>
        <w:rPr>
          <w:b w:val="0"/>
          <w:i w:val="0"/>
          <w:color w:val="55657A"/>
        </w:rPr>
        <w:t xml:space="preserve"> and </w:t>
      </w:r>
      <w:r>
        <w:rPr>
          <w:b w:val="0"/>
          <w:i/>
          <w:color w:val="55657A"/>
        </w:rPr>
        <w:t>Adjustment</w:t>
      </w:r>
      <w:r>
        <w:rPr>
          <w:b w:val="0"/>
          <w:i w:val="0"/>
          <w:color w:val="55657A"/>
        </w:rPr>
        <w:t xml:space="preserve"> are derived from the entries rather than raised by a transition. Detail in 3.3.</w:t>
      </w:r>
    </w:p>
    <w:p>
      <w:pPr>
        <w:pStyle w:val="Heading3"/>
      </w:pPr>
      <w:r>
        <w:t>Flow 2 — outbound: what leaves, at which grain, in which order</w:t>
      </w:r>
    </w:p>
    <w:p>
      <w:pPr>
        <w:jc w:val="center"/>
      </w:pPr>
      <w:r>
        <w:drawing>
          <wp:inline xmlns:a="http://schemas.openxmlformats.org/drawingml/2006/main" xmlns:pic="http://schemas.openxmlformats.org/drawingml/2006/picture">
            <wp:extent cx="5760720" cy="546275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5462752"/>
                    </a:xfrm>
                    <a:prstGeom prst="rect"/>
                  </pic:spPr>
                </pic:pic>
              </a:graphicData>
            </a:graphic>
          </wp:inline>
        </w:drawing>
      </w:r>
    </w:p>
    <w:p>
      <w:pPr>
        <w:jc w:val="center"/>
      </w:pPr>
      <w:r>
        <w:rPr>
          <w:b w:val="0"/>
          <w:i/>
          <w:color w:val="55657A"/>
          <w:sz w:val="17"/>
        </w:rPr>
        <w:t>Flow 2 — outbound. What leaves once a month is confirmed, at which grain and in which order.</w:t>
      </w:r>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Status — every transition</w:t>
      </w:r>
    </w:p>
    <w:p>
      <w:r>
        <w:rPr>
          <w:b w:val="0"/>
          <w:i w:val="0"/>
          <w:color w:val="C0392B"/>
        </w:rPr>
        <w:t>Five statuses</w:t>
      </w:r>
      <w:r>
        <w:rPr>
          <w:b w:val="0"/>
          <w:i w:val="0"/>
        </w:rPr>
        <w:t>, one at a time, the same set at every level.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val="0"/>
                <w:color w:val="C0392B"/>
              </w:rPr>
              <w:t xml:space="preserve">+ </w:t>
            </w:r>
            <w:r>
              <w:rPr>
                <w:b w:val="0"/>
                <w:i/>
                <w:color w:val="C0392B"/>
              </w:rPr>
              <w:t>Revoked</w:t>
            </w:r>
            <w:r>
              <w:rPr>
                <w:b w:val="0"/>
                <w:i w:val="0"/>
                <w:color w:val="C0392B"/>
              </w:rPr>
              <w:t>;</w:t>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 xml:space="preserve">Manager overrides the hours and approves — </w:t>
            </w:r>
            <w:r>
              <w:rPr>
                <w:b w:val="0"/>
                <w:i w:val="0"/>
                <w:color w:val="C0392B"/>
              </w:rPr>
              <w:t>allowed at any stage before approval</w:t>
            </w:r>
          </w:p>
        </w:tc>
        <w:tc>
          <w:tcPr>
            <w:tcW w:type="dxa" w:w="2448"/>
          </w:tcPr>
          <w:p>
            <w:pPr>
              <w:spacing w:after="40"/>
            </w:pPr>
            <w:r/>
            <w:r>
              <w:rPr>
                <w:b/>
                <w:i w:val="0"/>
                <w:color w:val="C0392B"/>
              </w:rPr>
              <w:t>Approved</w:t>
            </w:r>
          </w:p>
        </w:tc>
        <w:tc>
          <w:tcPr>
            <w:tcW w:type="dxa" w:w="2448"/>
          </w:tcPr>
          <w:p>
            <w:pPr>
              <w:spacing w:after="40"/>
            </w:pPr>
            <w:r/>
            <w:r>
              <w:rPr>
                <w:b w:val="0"/>
                <w:i w:val="0"/>
              </w:rPr>
              <w:t xml:space="preserve">+ </w:t>
            </w:r>
            <w:r>
              <w:rPr>
                <w:b w:val="0"/>
                <w:i/>
              </w:rPr>
              <w:t>Overridden</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every date in it goes back to awaiting a decision;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color w:val="C0392B"/>
              </w:rPr>
              <w:t xml:space="preserve">+ </w:t>
            </w:r>
            <w:r>
              <w:rPr>
                <w:b w:val="0"/>
                <w:i/>
                <w:color w:val="C0392B"/>
              </w:rPr>
              <w:t>Revoked</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color w:val="C0392B"/>
              </w:rPr>
              <w:t xml:space="preserve">+ </w:t>
            </w:r>
            <w:r>
              <w:rPr>
                <w:b w:val="0"/>
                <w:i/>
                <w:color w:val="C0392B"/>
              </w:rPr>
              <w:t>Revoked</w:t>
            </w:r>
          </w:p>
        </w:tc>
      </w:tr>
      <w:tr>
        <w:tc>
          <w:tcPr>
            <w:tcW w:type="dxa" w:w="2448"/>
          </w:tcPr>
          <w:p>
            <w:pPr>
              <w:spacing w:after="40"/>
            </w:pPr>
            <w:r/>
            <w:r>
              <w:rPr>
                <w:b w:val="0"/>
                <w:i w:val="0"/>
                <w:color w:val="C0392B"/>
              </w:rPr>
              <w:t>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puts every date back to awaiting a decision — without that reset the approver could not act on it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r>
        <w:rPr>
          <w:b/>
          <w:i w:val="0"/>
          <w:color w:val="55657A"/>
        </w:rPr>
        <w:t>The same transitions serve a single day.</w:t>
      </w:r>
      <w:r>
        <w:rPr>
          <w:b w:val="0"/>
          <w:i w:val="0"/>
          <w:color w:val="55657A"/>
        </w:rPr>
        <w:t xml:space="preserve"> Approving, rejecting or undoing one date uses the rows above — there is no separate day scheme. Two consequences follow from the day and the week sharing them: when every day is approved the week becomes </w:t>
      </w:r>
      <w:r>
        <w:rPr>
          <w:b w:val="0"/>
          <w:i/>
          <w:color w:val="55657A"/>
        </w:rPr>
        <w:t>Approved</w:t>
      </w:r>
      <w:r>
        <w:rPr>
          <w:b w:val="0"/>
          <w:i w:val="0"/>
          <w:color w:val="55657A"/>
        </w:rPr>
        <w:t xml:space="preserve">, and any rejected day makes the week </w:t>
      </w:r>
      <w:r>
        <w:rPr>
          <w:b w:val="0"/>
          <w:i/>
          <w:color w:val="55657A"/>
        </w:rPr>
        <w:t>Rejected</w:t>
      </w:r>
      <w:r>
        <w:rPr>
          <w:b w:val="0"/>
          <w:i w:val="0"/>
          <w:color w:val="55657A"/>
        </w:rPr>
        <w:t xml:space="preserve"> and sends it back. Undoing a day decision recomputes the week from the days that remain.</w:t>
      </w:r>
    </w:p>
    <w:p>
      <w:pPr>
        <w:pStyle w:val="Heading2"/>
      </w:pPr>
      <w:r>
        <w:t>7.3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Pr>
        <w:pStyle w:val="Heading1"/>
      </w:pPr>
      <w:r>
        <w:t>Flags — the rule behind each, and how downstream identifies it</w:t>
      </w:r>
    </w:p>
    <w:p>
      <w:r>
        <w:rPr>
          <w:b w:val="0"/>
          <w:i w:val="0"/>
          <w:color w:val="55657A"/>
        </w:rPr>
        <w:t xml:space="preserve">Every flag is set by one specific event, and every flag reaches the consumer through one specific column. This section states both, and then answers the harder question underneath: for a retro adjustment, </w:t>
      </w:r>
      <w:r>
        <w:rPr>
          <w:b w:val="0"/>
          <w:i/>
          <w:color w:val="55657A"/>
        </w:rPr>
        <w:t>which month’s accrual does it belong to</w:t>
      </w:r>
      <w:r>
        <w:rPr>
          <w:b w:val="0"/>
          <w:i w:val="0"/>
          <w:color w:val="55657A"/>
        </w:rPr>
        <w:t>, and what stops it being taken twice.</w:t>
      </w:r>
    </w:p>
    <w:p>
      <w:pPr>
        <w:pStyle w:val="Heading2"/>
      </w:pPr>
      <w:r>
        <w:t>8.1 What sets each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The rule that raises it</w:t>
            </w:r>
          </w:p>
        </w:tc>
        <w:tc>
          <w:tcPr>
            <w:tcW w:type="dxa" w:w="2448"/>
            <w:shd w:val="clear" w:fill="F1F3F6"/>
          </w:tcPr>
          <w:p>
            <w:pPr>
              <w:spacing w:after="40"/>
            </w:pPr>
            <w:r/>
            <w:r>
              <w:rPr>
                <w:b/>
                <w:i w:val="0"/>
              </w:rPr>
              <w:t>Raised by</w:t>
            </w:r>
          </w:p>
        </w:tc>
        <w:tc>
          <w:tcPr>
            <w:tcW w:type="dxa" w:w="2448"/>
            <w:shd w:val="clear" w:fill="F1F3F6"/>
          </w:tcPr>
          <w:p>
            <w:pPr>
              <w:spacing w:after="40"/>
            </w:pPr>
            <w:r/>
            <w:r>
              <w:rPr>
                <w:b/>
                <w:i w:val="0"/>
              </w:rPr>
              <w:t>Cleared</w:t>
            </w:r>
          </w:p>
        </w:tc>
      </w:tr>
      <w:tr>
        <w:tc>
          <w:tcPr>
            <w:tcW w:type="dxa" w:w="2448"/>
          </w:tcPr>
          <w:p>
            <w:pPr>
              <w:spacing w:after="40"/>
            </w:pPr>
            <w:r/>
            <w:r>
              <w:rPr>
                <w:b/>
                <w:i w:val="0"/>
              </w:rPr>
              <w:t>Defaulted</w:t>
            </w:r>
          </w:p>
        </w:tc>
        <w:tc>
          <w:tcPr>
            <w:tcW w:type="dxa" w:w="2448"/>
          </w:tcPr>
          <w:p>
            <w:pPr>
              <w:spacing w:after="40"/>
            </w:pPr>
            <w:r/>
            <w:r>
              <w:rPr>
                <w:b w:val="0"/>
                <w:i w:val="0"/>
              </w:rPr>
              <w:t xml:space="preserve">A cut-off passed with the work not done. </w:t>
            </w:r>
            <w:r>
              <w:rPr>
                <w:rFonts w:ascii="Consolas" w:hAnsi="Consolas"/>
                <w:b w:val="0"/>
                <w:i w:val="0"/>
                <w:sz w:val="18"/>
              </w:rPr>
              <w:t>DEFAULTED_BY</w:t>
            </w:r>
            <w:r>
              <w:rPr>
                <w:b w:val="0"/>
                <w:i w:val="0"/>
              </w:rPr>
              <w:t xml:space="preserve"> says whose: </w:t>
            </w:r>
            <w:r>
              <w:rPr>
                <w:rFonts w:ascii="Consolas" w:hAnsi="Consolas"/>
                <w:b w:val="0"/>
                <w:i w:val="0"/>
                <w:sz w:val="18"/>
              </w:rPr>
              <w:t>EMPLOYEE</w:t>
            </w:r>
            <w:r>
              <w:rPr>
                <w:b w:val="0"/>
                <w:i w:val="0"/>
              </w:rPr>
              <w:t xml:space="preserve"> means nothing was submitted by the weekly cut-off, and the record is </w:t>
            </w:r>
            <w:r>
              <w:rPr>
                <w:b/>
                <w:i w:val="0"/>
              </w:rPr>
              <w:t>locked</w:t>
            </w:r>
            <w:r>
              <w:rPr>
                <w:b w:val="0"/>
                <w:i w:val="0"/>
              </w:rPr>
              <w:t xml:space="preserve">; </w:t>
            </w:r>
            <w:r>
              <w:rPr>
                <w:rFonts w:ascii="Consolas" w:hAnsi="Consolas"/>
                <w:b w:val="0"/>
                <w:i w:val="0"/>
                <w:sz w:val="18"/>
              </w:rPr>
              <w:t>MANAGER</w:t>
            </w:r>
            <w:r>
              <w:rPr>
                <w:b w:val="0"/>
                <w:i w:val="0"/>
              </w:rPr>
              <w:t xml:space="preserve"> means nothing was decided by the delivery cut-off, and it is </w:t>
            </w:r>
            <w:r>
              <w:rPr>
                <w:b/>
                <w:i w:val="0"/>
              </w:rPr>
              <w:t>not</w:t>
            </w:r>
            <w:r>
              <w:rPr>
                <w:b w:val="0"/>
                <w:i w:val="0"/>
              </w:rPr>
              <w:t xml:space="preserve"> locked.</w:t>
            </w:r>
          </w:p>
        </w:tc>
        <w:tc>
          <w:tcPr>
            <w:tcW w:type="dxa" w:w="2448"/>
          </w:tcPr>
          <w:p>
            <w:pPr>
              <w:spacing w:after="40"/>
            </w:pPr>
            <w:r/>
            <w:r>
              <w:rPr>
                <w:b w:val="0"/>
                <w:i w:val="0"/>
              </w:rPr>
              <w:t>the two cut-off jobs, never a person</w:t>
            </w:r>
          </w:p>
        </w:tc>
        <w:tc>
          <w:tcPr>
            <w:tcW w:type="dxa" w:w="2448"/>
          </w:tcPr>
          <w:p>
            <w:pPr>
              <w:spacing w:after="40"/>
            </w:pPr>
            <w:r/>
            <w:r>
              <w:rPr>
                <w:b w:val="0"/>
                <w:i w:val="0"/>
              </w:rPr>
              <w:t>never — survives a later approval</w:t>
            </w:r>
          </w:p>
        </w:tc>
      </w:tr>
      <w:tr>
        <w:tc>
          <w:tcPr>
            <w:tcW w:type="dxa" w:w="2448"/>
          </w:tcPr>
          <w:p>
            <w:pPr>
              <w:spacing w:after="40"/>
            </w:pPr>
            <w:r/>
            <w:r>
              <w:rPr>
                <w:b/>
                <w:i w:val="0"/>
              </w:rPr>
              <w:t>Late submission</w:t>
            </w:r>
          </w:p>
        </w:tc>
        <w:tc>
          <w:tcPr>
            <w:tcW w:type="dxa" w:w="2448"/>
          </w:tcPr>
          <w:p>
            <w:pPr>
              <w:spacing w:after="40"/>
            </w:pPr>
            <w:r/>
            <w:r>
              <w:rPr>
                <w:b w:val="0"/>
                <w:i w:val="0"/>
              </w:rPr>
              <w:t>Submitted after the weekly cut-off. Evaluated at the moment of submission against that week’s cut-off date.</w:t>
            </w:r>
          </w:p>
        </w:tc>
        <w:tc>
          <w:tcPr>
            <w:tcW w:type="dxa" w:w="2448"/>
          </w:tcPr>
          <w:p>
            <w:pPr>
              <w:spacing w:after="40"/>
            </w:pPr>
            <w:r/>
            <w:r>
              <w:rPr>
                <w:b w:val="0"/>
                <w:i w:val="0"/>
              </w:rPr>
              <w:t>submit / resubmit</w:t>
            </w:r>
          </w:p>
        </w:tc>
        <w:tc>
          <w:tcPr>
            <w:tcW w:type="dxa" w:w="2448"/>
          </w:tcPr>
          <w:p>
            <w:pPr>
              <w:spacing w:after="40"/>
            </w:pPr>
            <w:r/>
            <w:r>
              <w:rPr>
                <w:b w:val="0"/>
                <w:i w:val="0"/>
              </w:rPr>
              <w:t>never — withdrawing or resubmitting does not un-happen it</w:t>
            </w:r>
          </w:p>
        </w:tc>
      </w:tr>
      <w:tr>
        <w:tc>
          <w:tcPr>
            <w:tcW w:type="dxa" w:w="2448"/>
          </w:tcPr>
          <w:p>
            <w:pPr>
              <w:spacing w:after="40"/>
            </w:pPr>
            <w:r/>
            <w:r>
              <w:rPr>
                <w:b/>
                <w:i w:val="0"/>
              </w:rPr>
              <w:t>Advance closure</w:t>
            </w:r>
          </w:p>
        </w:tc>
        <w:tc>
          <w:tcPr>
            <w:tcW w:type="dxa" w:w="2448"/>
          </w:tcPr>
          <w:p>
            <w:pPr>
              <w:spacing w:after="40"/>
            </w:pPr>
            <w:r/>
            <w:r>
              <w:rPr>
                <w:b w:val="0"/>
                <w:i w:val="0"/>
              </w:rPr>
              <w:t>A month was approved and closed ahead of its cut-off. Defaulted hours inside it are then treated as approved — the stated exception to the all-approved rule.</w:t>
            </w:r>
          </w:p>
        </w:tc>
        <w:tc>
          <w:tcPr>
            <w:tcW w:type="dxa" w:w="2448"/>
          </w:tcPr>
          <w:p>
            <w:pPr>
              <w:spacing w:after="40"/>
            </w:pPr>
            <w:r/>
            <w:r>
              <w:rPr>
                <w:b w:val="0"/>
                <w:i w:val="0"/>
              </w:rPr>
              <w:t>advance approval</w:t>
            </w:r>
          </w:p>
        </w:tc>
        <w:tc>
          <w:tcPr>
            <w:tcW w:type="dxa" w:w="2448"/>
          </w:tcPr>
          <w:p>
            <w:pPr>
              <w:spacing w:after="40"/>
            </w:pPr>
            <w:r/>
            <w:r>
              <w:rPr>
                <w:b w:val="0"/>
                <w:i w:val="0"/>
              </w:rPr>
              <w:t>never</w:t>
            </w:r>
          </w:p>
        </w:tc>
      </w:tr>
      <w:tr>
        <w:tc>
          <w:tcPr>
            <w:tcW w:type="dxa" w:w="2448"/>
          </w:tcPr>
          <w:p>
            <w:pPr>
              <w:spacing w:after="40"/>
            </w:pPr>
            <w:r/>
            <w:r>
              <w:rPr>
                <w:b/>
                <w:i w:val="0"/>
              </w:rPr>
              <w:t>Overridden</w:t>
            </w:r>
          </w:p>
        </w:tc>
        <w:tc>
          <w:tcPr>
            <w:tcW w:type="dxa" w:w="2448"/>
          </w:tcPr>
          <w:p>
            <w:pPr>
              <w:spacing w:after="40"/>
            </w:pPr>
            <w:r/>
            <w:r>
              <w:rPr>
                <w:b w:val="0"/>
                <w:i w:val="0"/>
              </w:rPr>
              <w:t>An approver changed the hours before accepting them. The employee’s original value is written to the audit trail first, so the change is always reconstructable.</w:t>
            </w:r>
          </w:p>
        </w:tc>
        <w:tc>
          <w:tcPr>
            <w:tcW w:type="dxa" w:w="2448"/>
          </w:tcPr>
          <w:p>
            <w:pPr>
              <w:spacing w:after="40"/>
            </w:pPr>
            <w:r/>
            <w:r>
              <w:rPr>
                <w:b w:val="0"/>
                <w:i w:val="0"/>
              </w:rPr>
              <w:t>manager override</w:t>
            </w:r>
          </w:p>
        </w:tc>
        <w:tc>
          <w:tcPr>
            <w:tcW w:type="dxa" w:w="2448"/>
          </w:tcPr>
          <w:p>
            <w:pPr>
              <w:spacing w:after="40"/>
            </w:pPr>
            <w:r/>
            <w:r>
              <w:rPr>
                <w:b w:val="0"/>
                <w:i w:val="0"/>
              </w:rPr>
              <w:t>never</w:t>
            </w:r>
          </w:p>
        </w:tc>
      </w:tr>
      <w:tr>
        <w:tc>
          <w:tcPr>
            <w:tcW w:type="dxa" w:w="2448"/>
          </w:tcPr>
          <w:p>
            <w:pPr>
              <w:spacing w:after="40"/>
            </w:pPr>
            <w:r/>
            <w:r>
              <w:rPr>
                <w:b/>
                <w:i w:val="0"/>
                <w:color w:val="C0392B"/>
              </w:rPr>
              <w:t>Revoked</w:t>
            </w:r>
          </w:p>
        </w:tc>
        <w:tc>
          <w:tcPr>
            <w:tcW w:type="dxa" w:w="2448"/>
          </w:tcPr>
          <w:p>
            <w:pPr>
              <w:spacing w:after="40"/>
            </w:pPr>
            <w:r/>
            <w:r>
              <w:rPr>
                <w:b w:val="0"/>
                <w:i w:val="0"/>
                <w:color w:val="C0392B"/>
              </w:rPr>
              <w:t>The record went backwards: the submitter withdrew it, or an approver undid their own decision. Not a status, because it returns to a status it already had.</w:t>
            </w:r>
          </w:p>
        </w:tc>
        <w:tc>
          <w:tcPr>
            <w:tcW w:type="dxa" w:w="2448"/>
          </w:tcPr>
          <w:p>
            <w:pPr>
              <w:spacing w:after="40"/>
            </w:pPr>
            <w:r/>
            <w:r>
              <w:rPr>
                <w:b w:val="0"/>
                <w:i w:val="0"/>
                <w:color w:val="C0392B"/>
              </w:rPr>
              <w:t>withdraw / undo decision</w:t>
            </w:r>
          </w:p>
        </w:tc>
        <w:tc>
          <w:tcPr>
            <w:tcW w:type="dxa" w:w="2448"/>
          </w:tcPr>
          <w:p>
            <w:pPr>
              <w:spacing w:after="40"/>
            </w:pPr>
            <w:r/>
            <w:r>
              <w:rPr>
                <w:b w:val="0"/>
                <w:i w:val="0"/>
                <w:color w:val="C0392B"/>
              </w:rPr>
              <w:t>never</w:t>
            </w:r>
          </w:p>
        </w:tc>
      </w:tr>
      <w:tr>
        <w:tc>
          <w:tcPr>
            <w:tcW w:type="dxa" w:w="2448"/>
          </w:tcPr>
          <w:p>
            <w:pPr>
              <w:spacing w:after="40"/>
            </w:pPr>
            <w:r/>
            <w:r>
              <w:rPr>
                <w:b/>
                <w:i w:val="0"/>
              </w:rPr>
              <w:t>Reversal</w:t>
            </w:r>
          </w:p>
        </w:tc>
        <w:tc>
          <w:tcPr>
            <w:tcW w:type="dxa" w:w="2448"/>
          </w:tcPr>
          <w:p>
            <w:pPr>
              <w:spacing w:after="40"/>
            </w:pPr>
            <w:r/>
            <w:r>
              <w:rPr>
                <w:b/>
                <w:i w:val="0"/>
              </w:rPr>
              <w:t>Derived, not set.</w:t>
            </w:r>
            <w:r>
              <w:rPr>
                <w:b w:val="0"/>
                <w:i w:val="0"/>
              </w:rPr>
              <w:t xml:space="preserve"> True when the record contains a negative entry. It is a consequence of the data, so it cannot drift from it.</w:t>
            </w:r>
          </w:p>
        </w:tc>
        <w:tc>
          <w:tcPr>
            <w:tcW w:type="dxa" w:w="2448"/>
          </w:tcPr>
          <w:p>
            <w:pPr>
              <w:spacing w:after="40"/>
            </w:pPr>
            <w:r/>
            <w:r>
              <w:rPr>
                <w:b w:val="0"/>
                <w:i w:val="0"/>
              </w:rPr>
              <w:t>recomputed from the entries</w:t>
            </w:r>
          </w:p>
        </w:tc>
        <w:tc>
          <w:tcPr>
            <w:tcW w:type="dxa" w:w="2448"/>
          </w:tcPr>
          <w:p>
            <w:pPr>
              <w:spacing w:after="40"/>
            </w:pPr>
            <w:r/>
            <w:r>
              <w:rPr>
                <w:b w:val="0"/>
                <w:i w:val="0"/>
              </w:rPr>
              <w:t>follows the entries</w:t>
            </w:r>
          </w:p>
        </w:tc>
      </w:tr>
      <w:tr>
        <w:tc>
          <w:tcPr>
            <w:tcW w:type="dxa" w:w="2448"/>
          </w:tcPr>
          <w:p>
            <w:pPr>
              <w:spacing w:after="40"/>
            </w:pPr>
            <w:r/>
            <w:r>
              <w:rPr>
                <w:b/>
                <w:i w:val="0"/>
              </w:rPr>
              <w:t>Adjustment</w:t>
            </w:r>
          </w:p>
        </w:tc>
        <w:tc>
          <w:tcPr>
            <w:tcW w:type="dxa" w:w="2448"/>
          </w:tcPr>
          <w:p>
            <w:pPr>
              <w:spacing w:after="40"/>
            </w:pPr>
            <w:r/>
            <w:r>
              <w:rPr>
                <w:b/>
                <w:i w:val="0"/>
              </w:rPr>
              <w:t>Derived, not set.</w:t>
            </w:r>
            <w:r>
              <w:rPr>
                <w:b w:val="0"/>
                <w:i w:val="0"/>
              </w:rPr>
              <w:t xml:space="preserve"> True when the record contains a retro adjustment entry.</w:t>
            </w:r>
          </w:p>
        </w:tc>
        <w:tc>
          <w:tcPr>
            <w:tcW w:type="dxa" w:w="2448"/>
          </w:tcPr>
          <w:p>
            <w:pPr>
              <w:spacing w:after="40"/>
            </w:pPr>
            <w:r/>
            <w:r>
              <w:rPr>
                <w:b w:val="0"/>
                <w:i w:val="0"/>
              </w:rPr>
              <w:t>recomputed from the entries</w:t>
            </w:r>
          </w:p>
        </w:tc>
        <w:tc>
          <w:tcPr>
            <w:tcW w:type="dxa" w:w="2448"/>
          </w:tcPr>
          <w:p>
            <w:pPr>
              <w:spacing w:after="40"/>
            </w:pPr>
            <w:r/>
            <w:r>
              <w:rPr>
                <w:b w:val="0"/>
                <w:i w:val="0"/>
              </w:rPr>
              <w:t>follows the entries</w:t>
            </w:r>
          </w:p>
        </w:tc>
      </w:tr>
    </w:tbl>
    <w:p/>
    <w:p>
      <w:pPr>
        <w:pStyle w:val="Heading2"/>
      </w:pPr>
      <w:r>
        <w:t>8.2 How the flag reaches the consumer</w:t>
      </w:r>
    </w:p>
    <w:p>
      <w:r>
        <w:rPr>
          <w:b w:val="0"/>
          <w:i w:val="0"/>
        </w:rPr>
        <w:t xml:space="preserve">Each interface row carries </w:t>
      </w:r>
      <w:r>
        <w:rPr>
          <w:b/>
          <w:i w:val="0"/>
        </w:rPr>
        <w:t>one</w:t>
      </w:r>
      <w:r>
        <w:rPr>
          <w:b w:val="0"/>
          <w:i w:val="0"/>
        </w:rPr>
        <w:t xml:space="preserve"> flag, not a set, because the consumer needs a single answer to “what kind of row is this”. Where several apply, the most specific wins:</w:t>
      </w:r>
    </w:p>
    <w:p>
      <w:r>
        <w:rPr>
          <w:rFonts w:ascii="Consolas" w:hAnsi="Consolas"/>
          <w:b w:val="0"/>
          <w:i w:val="0"/>
          <w:color w:val="55657A"/>
          <w:sz w:val="18"/>
        </w:rPr>
        <w:t>Reversal</w:t>
      </w:r>
      <w:r>
        <w:rPr>
          <w:b w:val="0"/>
          <w:i w:val="0"/>
          <w:color w:val="55657A"/>
        </w:rPr>
        <w:t xml:space="preserve"> → </w:t>
      </w:r>
      <w:r>
        <w:rPr>
          <w:rFonts w:ascii="Consolas" w:hAnsi="Consolas"/>
          <w:b w:val="0"/>
          <w:i w:val="0"/>
          <w:color w:val="55657A"/>
          <w:sz w:val="18"/>
        </w:rPr>
        <w:t>Adjustment</w:t>
      </w:r>
      <w:r>
        <w:rPr>
          <w:b w:val="0"/>
          <w:i w:val="0"/>
          <w:color w:val="55657A"/>
        </w:rPr>
        <w:t xml:space="preserve"> → </w:t>
      </w:r>
      <w:r>
        <w:rPr>
          <w:rFonts w:ascii="Consolas" w:hAnsi="Consolas"/>
          <w:b w:val="0"/>
          <w:i w:val="0"/>
          <w:color w:val="55657A"/>
          <w:sz w:val="18"/>
        </w:rPr>
        <w:t>Advance closure</w:t>
      </w:r>
      <w:r>
        <w:rPr>
          <w:b w:val="0"/>
          <w:i w:val="0"/>
          <w:color w:val="55657A"/>
        </w:rPr>
        <w:t xml:space="preserve"> → </w:t>
      </w:r>
      <w:r>
        <w:rPr>
          <w:rFonts w:ascii="Consolas" w:hAnsi="Consolas"/>
          <w:b w:val="0"/>
          <w:i w:val="0"/>
          <w:color w:val="55657A"/>
          <w:sz w:val="18"/>
        </w:rPr>
        <w:t>Overridden</w:t>
      </w:r>
      <w:r>
        <w:rPr>
          <w:b w:val="0"/>
          <w:i w:val="0"/>
          <w:color w:val="55657A"/>
        </w:rPr>
        <w:t xml:space="preserve"> → </w:t>
      </w:r>
      <w:r>
        <w:rPr>
          <w:rFonts w:ascii="Consolas" w:hAnsi="Consolas"/>
          <w:b w:val="0"/>
          <w:i w:val="0"/>
          <w:color w:val="55657A"/>
          <w:sz w:val="18"/>
        </w:rPr>
        <w:t>Defaulted</w:t>
      </w:r>
      <w:r>
        <w:rPr>
          <w:b w:val="0"/>
          <w:i w:val="0"/>
          <w:color w:val="55657A"/>
        </w:rPr>
        <w:t xml:space="preserve"> → </w:t>
      </w:r>
      <w:r>
        <w:rPr>
          <w:rFonts w:ascii="Consolas" w:hAnsi="Consolas"/>
          <w:b w:val="0"/>
          <w:i w:val="0"/>
          <w:color w:val="55657A"/>
          <w:sz w:val="18"/>
        </w:rPr>
        <w:t>Late submission</w:t>
      </w:r>
      <w:r>
        <w:rPr>
          <w:b w:val="0"/>
          <w:i w:val="0"/>
          <w:color w:val="55657A"/>
        </w:rPr>
        <w:t xml:space="preserve"> → none.</w:t>
      </w:r>
    </w:p>
    <w:p>
      <w:r>
        <w:rPr>
          <w:b w:val="0"/>
          <w:i w:val="0"/>
        </w:rPr>
        <w:t>The first two come from the row’s own entry type, so an adjustment row is always labelled as one regardless of what else is true of the week around it. The rest are week-level facts about how the hours came to be there.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Column on the interface row</w:t>
            </w:r>
          </w:p>
        </w:tc>
        <w:tc>
          <w:tcPr>
            <w:tcW w:type="dxa" w:w="4896"/>
            <w:shd w:val="clear" w:fill="F1F3F6"/>
          </w:tcPr>
          <w:p>
            <w:pPr>
              <w:spacing w:after="40"/>
            </w:pPr>
            <w:r/>
            <w:r>
              <w:rPr>
                <w:b/>
                <w:i w:val="0"/>
              </w:rPr>
              <w:t>What the consumer does with it</w:t>
            </w:r>
          </w:p>
        </w:tc>
      </w:tr>
      <w:tr>
        <w:tc>
          <w:tcPr>
            <w:tcW w:type="dxa" w:w="4896"/>
          </w:tcPr>
          <w:p>
            <w:pPr>
              <w:spacing w:after="40"/>
            </w:pPr>
            <w:r/>
            <w:r>
              <w:rPr>
                <w:rFonts w:ascii="Consolas" w:hAnsi="Consolas"/>
                <w:b w:val="0"/>
                <w:i w:val="0"/>
                <w:sz w:val="18"/>
              </w:rPr>
              <w:t>FLAG</w:t>
            </w:r>
          </w:p>
        </w:tc>
        <w:tc>
          <w:tcPr>
            <w:tcW w:type="dxa" w:w="4896"/>
          </w:tcPr>
          <w:p>
            <w:pPr>
              <w:spacing w:after="40"/>
            </w:pPr>
            <w:r/>
            <w:r>
              <w:rPr>
                <w:b w:val="0"/>
                <w:i w:val="0"/>
              </w:rPr>
              <w:t>the single most-specific label, per the order above</w:t>
            </w:r>
          </w:p>
        </w:tc>
      </w:tr>
      <w:tr>
        <w:tc>
          <w:tcPr>
            <w:tcW w:type="dxa" w:w="4896"/>
          </w:tcPr>
          <w:p>
            <w:pPr>
              <w:spacing w:after="40"/>
            </w:pPr>
            <w:r/>
            <w:r>
              <w:rPr>
                <w:rFonts w:ascii="Consolas" w:hAnsi="Consolas"/>
                <w:b w:val="0"/>
                <w:i w:val="0"/>
                <w:sz w:val="18"/>
              </w:rPr>
              <w:t>ENTRY_TYPE</w:t>
            </w:r>
          </w:p>
        </w:tc>
        <w:tc>
          <w:tcPr>
            <w:tcW w:type="dxa" w:w="4896"/>
          </w:tcPr>
          <w:p>
            <w:pPr>
              <w:spacing w:after="40"/>
            </w:pPr>
            <w:r/>
            <w:r>
              <w:rPr>
                <w:rFonts w:ascii="Consolas" w:hAnsi="Consolas"/>
                <w:b w:val="0"/>
                <w:i w:val="0"/>
                <w:sz w:val="18"/>
              </w:rPr>
              <w:t>Actual</w:t>
            </w:r>
            <w:r>
              <w:rPr>
                <w:b w:val="0"/>
                <w:i w:val="0"/>
              </w:rPr>
              <w:t xml:space="preserve"> · </w:t>
            </w:r>
            <w:r>
              <w:rPr>
                <w:rFonts w:ascii="Consolas" w:hAnsi="Consolas"/>
                <w:b w:val="0"/>
                <w:i w:val="0"/>
                <w:sz w:val="18"/>
              </w:rPr>
              <w:t>Default</w:t>
            </w:r>
            <w:r>
              <w:rPr>
                <w:b w:val="0"/>
                <w:i w:val="0"/>
              </w:rPr>
              <w:t xml:space="preserve"> · </w:t>
            </w:r>
            <w:r>
              <w:rPr>
                <w:rFonts w:ascii="Consolas" w:hAnsi="Consolas"/>
                <w:b w:val="0"/>
                <w:i w:val="0"/>
                <w:sz w:val="18"/>
              </w:rPr>
              <w:t>Reversal</w:t>
            </w:r>
            <w:r>
              <w:rPr>
                <w:b w:val="0"/>
                <w:i w:val="0"/>
              </w:rPr>
              <w:t xml:space="preserve"> · </w:t>
            </w:r>
            <w:r>
              <w:rPr>
                <w:rFonts w:ascii="Consolas" w:hAnsi="Consolas"/>
                <w:b w:val="0"/>
                <w:i w:val="0"/>
                <w:sz w:val="18"/>
              </w:rPr>
              <w:t>Adjustment</w:t>
            </w:r>
            <w:r>
              <w:rPr>
                <w:b w:val="0"/>
                <w:i w:val="0"/>
              </w:rPr>
              <w:t xml:space="preserve"> — the machine-readable form; </w:t>
            </w:r>
            <w:r>
              <w:rPr>
                <w:rFonts w:ascii="Consolas" w:hAnsi="Consolas"/>
                <w:b w:val="0"/>
                <w:i w:val="0"/>
                <w:sz w:val="18"/>
              </w:rPr>
              <w:t>FLAG</w:t>
            </w:r>
            <w:r>
              <w:rPr>
                <w:b w:val="0"/>
                <w:i w:val="0"/>
              </w:rPr>
              <w:t xml:space="preserve"> is the human one</w:t>
            </w:r>
          </w:p>
        </w:tc>
      </w:tr>
      <w:tr>
        <w:tc>
          <w:tcPr>
            <w:tcW w:type="dxa" w:w="4896"/>
          </w:tcPr>
          <w:p>
            <w:pPr>
              <w:spacing w:after="40"/>
            </w:pPr>
            <w:r/>
            <w:r>
              <w:rPr>
                <w:rFonts w:ascii="Consolas" w:hAnsi="Consolas"/>
                <w:b w:val="0"/>
                <w:i w:val="0"/>
                <w:sz w:val="18"/>
              </w:rPr>
              <w:t>WORK_DATE</w:t>
            </w:r>
          </w:p>
        </w:tc>
        <w:tc>
          <w:tcPr>
            <w:tcW w:type="dxa" w:w="4896"/>
          </w:tcPr>
          <w:p>
            <w:pPr>
              <w:spacing w:after="40"/>
            </w:pPr>
            <w:r/>
            <w:r>
              <w:rPr>
                <w:b w:val="0"/>
                <w:i w:val="0"/>
              </w:rPr>
              <w:t xml:space="preserve">the day the work happened. </w:t>
            </w:r>
            <w:r>
              <w:rPr>
                <w:b/>
                <w:i w:val="0"/>
              </w:rPr>
              <w:t>Day-wise, never rolled up</w:t>
            </w:r>
          </w:p>
        </w:tc>
      </w:tr>
      <w:tr>
        <w:tc>
          <w:tcPr>
            <w:tcW w:type="dxa" w:w="4896"/>
          </w:tcPr>
          <w:p>
            <w:pPr>
              <w:spacing w:after="40"/>
            </w:pPr>
            <w:r/>
            <w:r>
              <w:rPr>
                <w:rFonts w:ascii="Consolas" w:hAnsi="Consolas"/>
                <w:b w:val="0"/>
                <w:i w:val="0"/>
                <w:sz w:val="18"/>
              </w:rPr>
              <w:t>PERIOD</w:t>
            </w:r>
            <w:r>
              <w:rPr>
                <w:b w:val="0"/>
                <w:i w:val="0"/>
              </w:rPr>
              <w:t xml:space="preserve"> / </w:t>
            </w:r>
            <w:r>
              <w:rPr>
                <w:rFonts w:ascii="Consolas" w:hAnsi="Consolas"/>
                <w:b w:val="0"/>
                <w:i w:val="0"/>
                <w:sz w:val="18"/>
              </w:rPr>
              <w:t>_YEAR</w:t>
            </w:r>
            <w:r>
              <w:rPr>
                <w:b w:val="0"/>
                <w:i w:val="0"/>
              </w:rPr>
              <w:t xml:space="preserve"> / </w:t>
            </w:r>
            <w:r>
              <w:rPr>
                <w:rFonts w:ascii="Consolas" w:hAnsi="Consolas"/>
                <w:b w:val="0"/>
                <w:i w:val="0"/>
                <w:sz w:val="18"/>
              </w:rPr>
              <w:t>_MONTH</w:t>
            </w:r>
          </w:p>
        </w:tc>
        <w:tc>
          <w:tcPr>
            <w:tcW w:type="dxa" w:w="4896"/>
          </w:tcPr>
          <w:p>
            <w:pPr>
              <w:spacing w:after="40"/>
            </w:pPr>
            <w:r/>
            <w:r>
              <w:rPr>
                <w:b w:val="0"/>
                <w:i w:val="0"/>
              </w:rPr>
              <w:t>the month the work belongs to</w:t>
            </w:r>
          </w:p>
        </w:tc>
      </w:tr>
      <w:tr>
        <w:tc>
          <w:tcPr>
            <w:tcW w:type="dxa" w:w="4896"/>
          </w:tcPr>
          <w:p>
            <w:pPr>
              <w:spacing w:after="40"/>
            </w:pPr>
            <w:r/>
            <w:r>
              <w:rPr>
                <w:rFonts w:ascii="Consolas" w:hAnsi="Consolas"/>
                <w:b w:val="0"/>
                <w:i w:val="0"/>
                <w:sz w:val="18"/>
              </w:rPr>
              <w:t>ACTION_DATE</w:t>
            </w:r>
          </w:p>
        </w:tc>
        <w:tc>
          <w:tcPr>
            <w:tcW w:type="dxa" w:w="4896"/>
          </w:tcPr>
          <w:p>
            <w:pPr>
              <w:spacing w:after="40"/>
            </w:pPr>
            <w:r/>
            <w:r>
              <w:rPr>
                <w:b w:val="0"/>
                <w:i w:val="0"/>
              </w:rPr>
              <w:t xml:space="preserve">the day the decision was taken — for an adjustment this is </w:t>
            </w:r>
            <w:r>
              <w:rPr>
                <w:b w:val="0"/>
                <w:i/>
              </w:rPr>
              <w:t>later</w:t>
            </w:r>
            <w:r>
              <w:rPr>
                <w:b w:val="0"/>
                <w:i w:val="0"/>
              </w:rPr>
              <w:t xml:space="preserve"> than the work date, and that difference is the whole question in 8.3</w:t>
            </w:r>
          </w:p>
        </w:tc>
      </w:tr>
      <w:tr>
        <w:tc>
          <w:tcPr>
            <w:tcW w:type="dxa" w:w="4896"/>
          </w:tcPr>
          <w:p>
            <w:pPr>
              <w:spacing w:after="40"/>
            </w:pPr>
            <w:r/>
            <w:r>
              <w:rPr>
                <w:rFonts w:ascii="Consolas" w:hAnsi="Consolas"/>
                <w:b w:val="0"/>
                <w:i w:val="0"/>
                <w:sz w:val="18"/>
              </w:rPr>
              <w:t>SOURCE_TS_ID</w:t>
            </w:r>
            <w:r>
              <w:rPr>
                <w:b w:val="0"/>
                <w:i w:val="0"/>
              </w:rPr>
              <w:t xml:space="preserve"> / </w:t>
            </w:r>
            <w:r>
              <w:rPr>
                <w:rFonts w:ascii="Consolas" w:hAnsi="Consolas"/>
                <w:b w:val="0"/>
                <w:i w:val="0"/>
                <w:sz w:val="18"/>
              </w:rPr>
              <w:t>SOURCE_ADJ_ID</w:t>
            </w:r>
          </w:p>
        </w:tc>
        <w:tc>
          <w:tcPr>
            <w:tcW w:type="dxa" w:w="4896"/>
          </w:tcPr>
          <w:p>
            <w:pPr>
              <w:spacing w:after="40"/>
            </w:pPr>
            <w:r/>
            <w:r>
              <w:rPr>
                <w:b w:val="0"/>
                <w:i w:val="0"/>
              </w:rPr>
              <w:t>traces the row back to the exact entry and adjustment that produced it</w:t>
            </w:r>
          </w:p>
        </w:tc>
      </w:tr>
      <w:tr>
        <w:tc>
          <w:tcPr>
            <w:tcW w:type="dxa" w:w="4896"/>
          </w:tcPr>
          <w:p>
            <w:pPr>
              <w:spacing w:after="40"/>
            </w:pPr>
            <w:r/>
            <w:r>
              <w:rPr>
                <w:rFonts w:ascii="Consolas" w:hAnsi="Consolas"/>
                <w:b w:val="0"/>
                <w:i w:val="0"/>
                <w:sz w:val="18"/>
              </w:rPr>
              <w:t>BATCH_ID</w:t>
            </w:r>
          </w:p>
        </w:tc>
        <w:tc>
          <w:tcPr>
            <w:tcW w:type="dxa" w:w="4896"/>
          </w:tcPr>
          <w:p>
            <w:pPr>
              <w:spacing w:after="40"/>
            </w:pPr>
            <w:r/>
            <w:r>
              <w:rPr>
                <w:b w:val="0"/>
                <w:i w:val="0"/>
              </w:rPr>
              <w:t>groups everything one run posted, so a batch can be claimed in one acknowledgement</w:t>
            </w:r>
          </w:p>
        </w:tc>
      </w:tr>
      <w:tr>
        <w:tc>
          <w:tcPr>
            <w:tcW w:type="dxa" w:w="4896"/>
          </w:tcPr>
          <w:p>
            <w:pPr>
              <w:spacing w:after="40"/>
            </w:pPr>
            <w:r/>
            <w:r>
              <w:rPr>
                <w:rFonts w:ascii="Consolas" w:hAnsi="Consolas"/>
                <w:b w:val="0"/>
                <w:i w:val="0"/>
                <w:sz w:val="18"/>
              </w:rPr>
              <w:t>PROCESSED_FLAG</w:t>
            </w:r>
            <w:r>
              <w:rPr>
                <w:b w:val="0"/>
                <w:i w:val="0"/>
              </w:rPr>
              <w:t xml:space="preserve"> / </w:t>
            </w:r>
            <w:r>
              <w:rPr>
                <w:rFonts w:ascii="Consolas" w:hAnsi="Consolas"/>
                <w:b w:val="0"/>
                <w:i w:val="0"/>
                <w:sz w:val="18"/>
              </w:rPr>
              <w:t>PULLED_ON</w:t>
            </w:r>
            <w:r>
              <w:rPr>
                <w:b w:val="0"/>
                <w:i w:val="0"/>
              </w:rPr>
              <w:t xml:space="preserve"> / </w:t>
            </w:r>
            <w:r>
              <w:rPr>
                <w:rFonts w:ascii="Consolas" w:hAnsi="Consolas"/>
                <w:b w:val="0"/>
                <w:i w:val="0"/>
                <w:sz w:val="18"/>
              </w:rPr>
              <w:t>PULLED_BY</w:t>
            </w:r>
          </w:p>
        </w:tc>
        <w:tc>
          <w:tcPr>
            <w:tcW w:type="dxa" w:w="4896"/>
          </w:tcPr>
          <w:p>
            <w:pPr>
              <w:spacing w:after="40"/>
            </w:pPr>
            <w:r/>
            <w:r>
              <w:rPr>
                <w:b/>
                <w:i w:val="0"/>
              </w:rPr>
              <w:t>consumer-owned.</w:t>
            </w:r>
            <w:r>
              <w:rPr>
                <w:b w:val="0"/>
                <w:i w:val="0"/>
              </w:rPr>
              <w:t xml:space="preserve"> We write them never; the consumer marks what it has taken</w:t>
            </w:r>
          </w:p>
        </w:tc>
      </w:tr>
    </w:tbl>
    <w:p/>
    <w:p>
      <w:pPr>
        <w:pStyle w:val="Heading2"/>
      </w:pPr>
      <w:r>
        <w:t>8.3 The adjustment question — which month, and never twice</w:t>
      </w:r>
    </w:p>
    <w:p>
      <w:pPr>
        <w:pStyle w:val="Heading3"/>
      </w:pPr>
      <w:r>
        <w:t>The scenario</w:t>
      </w:r>
    </w:p>
    <w:p>
      <w:r>
        <w:rPr>
          <w:b w:val="0"/>
          <w:i w:val="0"/>
        </w:rPr>
        <w:t xml:space="preserve">A day in </w:t>
      </w:r>
      <w:r>
        <w:rPr>
          <w:b/>
          <w:i w:val="0"/>
        </w:rPr>
        <w:t>July</w:t>
      </w:r>
      <w:r>
        <w:rPr>
          <w:b w:val="0"/>
          <w:i w:val="0"/>
        </w:rPr>
        <w:t xml:space="preserve"> was booked to the wrong task. July is confirmed and accrued. In </w:t>
      </w:r>
      <w:r>
        <w:rPr>
          <w:b/>
          <w:i w:val="0"/>
        </w:rPr>
        <w:t>August</w:t>
      </w:r>
      <w:r>
        <w:rPr>
          <w:b w:val="0"/>
          <w:i w:val="0"/>
        </w:rPr>
        <w:t xml:space="preserve">, inside the backdating window, the correction is raised and approved. It produces a matched pair on the </w:t>
      </w:r>
      <w:r>
        <w:rPr>
          <w:b w:val="0"/>
          <w:i/>
        </w:rPr>
        <w:t>original July day</w:t>
      </w:r>
      <w:r>
        <w:rPr>
          <w:b w:val="0"/>
          <w:i w:val="0"/>
        </w:rPr>
        <w:t xml:space="preserve">: a </w:t>
      </w:r>
      <w:r>
        <w:rPr>
          <w:b/>
          <w:i w:val="0"/>
        </w:rPr>
        <w:t>Reversal(−)</w:t>
      </w:r>
      <w:r>
        <w:rPr>
          <w:b w:val="0"/>
          <w:i w:val="0"/>
        </w:rPr>
        <w:t xml:space="preserve"> of what was booked, and an </w:t>
      </w:r>
      <w:r>
        <w:rPr>
          <w:b/>
          <w:i w:val="0"/>
        </w:rPr>
        <w:t>Adjustment(+)</w:t>
      </w:r>
      <w:r>
        <w:rPr>
          <w:b w:val="0"/>
          <w:i w:val="0"/>
        </w:rPr>
        <w:t xml:space="preserve"> of what should have been.</w:t>
      </w:r>
    </w:p>
    <w:p>
      <w:pPr>
        <w:pStyle w:val="Heading3"/>
      </w:pPr>
      <w:r>
        <w:t>What is already handled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Concern</w:t>
            </w:r>
          </w:p>
        </w:tc>
        <w:tc>
          <w:tcPr>
            <w:tcW w:type="dxa" w:w="4896"/>
            <w:shd w:val="clear" w:fill="F1F3F6"/>
          </w:tcPr>
          <w:p>
            <w:pPr>
              <w:spacing w:after="40"/>
            </w:pPr>
            <w:r/>
            <w:r>
              <w:rPr>
                <w:b/>
                <w:i w:val="0"/>
              </w:rPr>
              <w:t>Mechanism</w:t>
            </w:r>
          </w:p>
        </w:tc>
      </w:tr>
      <w:tr>
        <w:tc>
          <w:tcPr>
            <w:tcW w:type="dxa" w:w="4896"/>
          </w:tcPr>
          <w:p>
            <w:pPr>
              <w:spacing w:after="40"/>
            </w:pPr>
            <w:r/>
            <w:r>
              <w:rPr>
                <w:b/>
                <w:i w:val="0"/>
              </w:rPr>
              <w:t>Are the two halves matched?</w:t>
            </w:r>
          </w:p>
        </w:tc>
        <w:tc>
          <w:tcPr>
            <w:tcW w:type="dxa" w:w="4896"/>
          </w:tcPr>
          <w:p>
            <w:pPr>
              <w:spacing w:after="40"/>
            </w:pPr>
            <w:r/>
            <w:r>
              <w:rPr>
                <w:b w:val="0"/>
                <w:i w:val="0"/>
              </w:rPr>
              <w:t xml:space="preserve">Both carry the same </w:t>
            </w:r>
            <w:r>
              <w:rPr>
                <w:rFonts w:ascii="Consolas" w:hAnsi="Consolas"/>
                <w:b w:val="0"/>
                <w:i w:val="0"/>
                <w:sz w:val="18"/>
              </w:rPr>
              <w:t>SOURCE_ADJ_ID</w:t>
            </w:r>
            <w:r>
              <w:rPr>
                <w:b w:val="0"/>
                <w:i w:val="0"/>
              </w:rPr>
              <w:t xml:space="preserve">. Hours are </w:t>
            </w:r>
            <w:r>
              <w:rPr>
                <w:b/>
                <w:i w:val="0"/>
              </w:rPr>
              <w:t>signed</w:t>
            </w:r>
            <w:r>
              <w:rPr>
                <w:b w:val="0"/>
                <w:i w:val="0"/>
              </w:rPr>
              <w:t xml:space="preserve"> — negative for the reversal, positive for the re-entry, enforced by a constraint on the interface — so the consumer sums and gets the net position with no sign logic and no pairing logic.</w:t>
            </w:r>
          </w:p>
        </w:tc>
      </w:tr>
      <w:tr>
        <w:tc>
          <w:tcPr>
            <w:tcW w:type="dxa" w:w="4896"/>
          </w:tcPr>
          <w:p>
            <w:pPr>
              <w:spacing w:after="40"/>
            </w:pPr>
            <w:r/>
            <w:r>
              <w:rPr>
                <w:b/>
                <w:i w:val="0"/>
              </w:rPr>
              <w:t>Day-level fidelity is kept</w:t>
            </w:r>
          </w:p>
        </w:tc>
        <w:tc>
          <w:tcPr>
            <w:tcW w:type="dxa" w:w="4896"/>
          </w:tcPr>
          <w:p>
            <w:pPr>
              <w:spacing w:after="40"/>
            </w:pPr>
            <w:r/>
            <w:r>
              <w:rPr>
                <w:b w:val="0"/>
                <w:i w:val="0"/>
              </w:rPr>
              <w:t>The pair is written on the original work date, not on the correction date, so July’s day-level picture stays truthful.</w:t>
            </w:r>
          </w:p>
        </w:tc>
      </w:tr>
      <w:tr>
        <w:tc>
          <w:tcPr>
            <w:tcW w:type="dxa" w:w="4896"/>
          </w:tcPr>
          <w:p>
            <w:pPr>
              <w:spacing w:after="40"/>
            </w:pPr>
            <w:r/>
            <w:r>
              <w:rPr>
                <w:b/>
                <w:i w:val="0"/>
              </w:rPr>
              <w:t>Can it be posted twice by us?</w:t>
            </w:r>
          </w:p>
        </w:tc>
        <w:tc>
          <w:tcPr>
            <w:tcW w:type="dxa" w:w="4896"/>
          </w:tcPr>
          <w:p>
            <w:pPr>
              <w:spacing w:after="40"/>
            </w:pPr>
            <w:r/>
            <w:r>
              <w:rPr>
                <w:b/>
                <w:i w:val="0"/>
              </w:rPr>
              <w:t>No.</w:t>
            </w:r>
            <w:r>
              <w:rPr>
                <w:b w:val="0"/>
                <w:i w:val="0"/>
              </w:rPr>
              <w:t xml:space="preserve"> Both the confirmation and the top-up guard on the same three columns — </w:t>
            </w:r>
            <w:r>
              <w:rPr>
                <w:rFonts w:ascii="Consolas" w:hAnsi="Consolas"/>
                <w:b w:val="0"/>
                <w:i w:val="0"/>
                <w:sz w:val="18"/>
              </w:rPr>
              <w:t>(CONFIRM_ID, SOURCE_TS_ID, ENTRY_TYPE)</w:t>
            </w:r>
            <w:r>
              <w:rPr>
                <w:b w:val="0"/>
                <w:i w:val="0"/>
              </w:rPr>
              <w:t>. Running either again writes nothing. And because re-confirming a month reuses the same confirmation rather than creating a second one, a reopened-and-reconfirmed month cannot duplicate its rows either.</w:t>
            </w:r>
          </w:p>
        </w:tc>
      </w:tr>
      <w:tr>
        <w:tc>
          <w:tcPr>
            <w:tcW w:type="dxa" w:w="4896"/>
          </w:tcPr>
          <w:p>
            <w:pPr>
              <w:spacing w:after="40"/>
            </w:pPr>
            <w:r/>
            <w:r>
              <w:rPr>
                <w:b/>
                <w:i w:val="0"/>
              </w:rPr>
              <w:t>Why a top-up run exists at all</w:t>
            </w:r>
          </w:p>
        </w:tc>
        <w:tc>
          <w:tcPr>
            <w:tcW w:type="dxa" w:w="4896"/>
          </w:tcPr>
          <w:p>
            <w:pPr>
              <w:spacing w:after="40"/>
            </w:pPr>
            <w:r/>
            <w:r>
              <w:rPr>
                <w:b w:val="0"/>
                <w:i w:val="0"/>
              </w:rPr>
              <w:t xml:space="preserve">The confirmation had already run when the adjustment was approved, so nothing would otherwise have carried these rows across — they would never have reached accrual. The top-up posts </w:t>
            </w:r>
            <w:r>
              <w:rPr>
                <w:b w:val="0"/>
                <w:i/>
              </w:rPr>
              <w:t>only</w:t>
            </w:r>
            <w:r>
              <w:rPr>
                <w:b w:val="0"/>
                <w:i w:val="0"/>
              </w:rPr>
              <w:t xml:space="preserve"> reversal and adjustment rows, deliberately: an ordinary entry that was not approved at confirmation must not slip in without the gate.</w:t>
            </w:r>
          </w:p>
        </w:tc>
      </w:tr>
    </w:tbl>
    <w:p/>
    <w:p>
      <w:pPr>
        <w:spacing w:before="120" w:after="160"/>
        <w:ind w:left="288"/>
        <w:pBdr>
          <w:left w:val="single" w:sz="18" w:space="8" w:color="D9A53C"/>
        </w:pBdr>
      </w:pPr>
      <w:r>
        <w:rPr>
          <w:b w:val="0"/>
          <w:i w:val="0"/>
          <w:sz w:val="19"/>
        </w:rPr>
        <w:t>The gap, and it is the exact thing you asked about</w:t>
      </w:r>
      <w:r>
        <w:rPr>
          <w:b/>
          <w:i w:val="0"/>
          <w:sz w:val="19"/>
        </w:rPr>
        <w:t>The module knows which month an adjustment should post into, and does not tell the consumer.</w:t>
      </w:r>
      <w:r>
        <w:rPr>
          <w:b w:val="0"/>
          <w:i w:val="0"/>
          <w:sz w:val="19"/>
        </w:rPr>
        <w:t>Every adjustment records two periods: the month being corrected, and the month it should post into — the open one at the time of approval. That distinction is captured the moment the adjustment is raised.</w:t>
      </w:r>
      <w:r>
        <w:rPr>
          <w:b/>
          <w:i w:val="0"/>
          <w:sz w:val="19"/>
        </w:rPr>
        <w:t>The interface row does not carry it.</w:t>
      </w:r>
      <w:r>
        <w:rPr>
          <w:b w:val="0"/>
          <w:i w:val="0"/>
          <w:sz w:val="19"/>
        </w:rPr>
        <w:t xml:space="preserve"> The row that reaches accrual says </w:t>
      </w:r>
      <w:r>
        <w:rPr>
          <w:rFonts w:ascii="Consolas" w:hAnsi="Consolas"/>
          <w:b w:val="0"/>
          <w:i w:val="0"/>
          <w:sz w:val="19"/>
        </w:rPr>
        <w:t>PERIOD = JUL-2026</w:t>
      </w:r>
      <w:r>
        <w:rPr>
          <w:b w:val="0"/>
          <w:i w:val="0"/>
          <w:sz w:val="19"/>
        </w:rPr>
        <w:t xml:space="preserve"> — the month being corrected — with an </w:t>
      </w:r>
      <w:r>
        <w:rPr>
          <w:rFonts w:ascii="Consolas" w:hAnsi="Consolas"/>
          <w:b w:val="0"/>
          <w:i w:val="0"/>
          <w:sz w:val="19"/>
        </w:rPr>
        <w:t>ACTION_DATE</w:t>
      </w:r>
      <w:r>
        <w:rPr>
          <w:b w:val="0"/>
          <w:i w:val="0"/>
          <w:sz w:val="19"/>
        </w:rPr>
        <w:t xml:space="preserve"> in August. The posting period is never written to the interface at all. So the consumer is left to infer the accrual month from </w:t>
      </w:r>
      <w:r>
        <w:rPr>
          <w:rFonts w:ascii="Consolas" w:hAnsi="Consolas"/>
          <w:b w:val="0"/>
          <w:i w:val="0"/>
          <w:sz w:val="19"/>
        </w:rPr>
        <w:t>ACTION_DATE</w:t>
      </w:r>
      <w:r>
        <w:rPr>
          <w:b w:val="0"/>
          <w:i w:val="0"/>
          <w:sz w:val="19"/>
        </w:rPr>
        <w:t>, and nothing in the contract says that is what it should do.</w:t>
      </w:r>
      <w:r>
        <w:rPr>
          <w:b w:val="0"/>
          <w:i w:val="0"/>
          <w:sz w:val="19"/>
        </w:rPr>
        <w:t>Both readings are defensible from the row as it stands, and they give different numbers:</w:t>
      </w:r>
      <w:r>
        <w:rPr>
          <w:b/>
          <w:i w:val="0"/>
          <w:sz w:val="19"/>
        </w:rPr>
        <w:t>Accrue to July</w:t>
      </w:r>
      <w:r>
        <w:rPr>
          <w:b w:val="0"/>
          <w:i w:val="0"/>
          <w:sz w:val="19"/>
        </w:rPr>
        <w:t xml:space="preserve"> — the month whose cost is wrong. Correct in principle; impossible in practice once July’s accrual is closed.</w:t>
      </w:r>
      <w:r>
        <w:rPr>
          <w:b/>
          <w:i w:val="0"/>
          <w:sz w:val="19"/>
        </w:rPr>
        <w:t>Accrue to August</w:t>
      </w:r>
      <w:r>
        <w:rPr>
          <w:b w:val="0"/>
          <w:i w:val="0"/>
          <w:sz w:val="19"/>
        </w:rPr>
        <w:t xml:space="preserve"> — the month the decision landed in. This is what the design intends, and what a closed prior period forces.</w:t>
      </w:r>
      <w:r>
        <w:rPr>
          <w:b/>
          <w:i w:val="0"/>
          <w:sz w:val="19"/>
        </w:rPr>
        <w:t>Recommendation:</w:t>
      </w:r>
      <w:r>
        <w:rPr>
          <w:b w:val="0"/>
          <w:i w:val="0"/>
          <w:sz w:val="19"/>
        </w:rPr>
        <w:t xml:space="preserve"> add an explicit </w:t>
      </w:r>
      <w:r>
        <w:rPr>
          <w:rFonts w:ascii="Consolas" w:hAnsi="Consolas"/>
          <w:b w:val="0"/>
          <w:i w:val="0"/>
          <w:sz w:val="19"/>
        </w:rPr>
        <w:t>ACCRUAL_PERIOD</w:t>
      </w:r>
      <w:r>
        <w:rPr>
          <w:b w:val="0"/>
          <w:i w:val="0"/>
          <w:sz w:val="19"/>
        </w:rPr>
        <w:t xml:space="preserve"> to the staging structure the accrual side is defining, populated from the posting period the adjustment already records. Keep </w:t>
      </w:r>
      <w:r>
        <w:rPr>
          <w:rFonts w:ascii="Consolas" w:hAnsi="Consolas"/>
          <w:b w:val="0"/>
          <w:i w:val="0"/>
          <w:sz w:val="19"/>
        </w:rPr>
        <w:t>PERIOD</w:t>
      </w:r>
      <w:r>
        <w:rPr>
          <w:b w:val="0"/>
          <w:i w:val="0"/>
          <w:sz w:val="19"/>
        </w:rPr>
        <w:t xml:space="preserve"> as the month being corrected and </w:t>
      </w:r>
      <w:r>
        <w:rPr>
          <w:rFonts w:ascii="Consolas" w:hAnsi="Consolas"/>
          <w:b w:val="0"/>
          <w:i w:val="0"/>
          <w:sz w:val="19"/>
        </w:rPr>
        <w:t>WORK_DATE</w:t>
      </w:r>
      <w:r>
        <w:rPr>
          <w:b w:val="0"/>
          <w:i w:val="0"/>
          <w:sz w:val="19"/>
        </w:rPr>
        <w:t xml:space="preserve"> as the day, so the consumer can both post to the right month </w:t>
      </w:r>
      <w:r>
        <w:rPr>
          <w:b w:val="0"/>
          <w:i/>
          <w:sz w:val="19"/>
        </w:rPr>
        <w:t>and</w:t>
      </w:r>
      <w:r>
        <w:rPr>
          <w:b w:val="0"/>
          <w:i w:val="0"/>
          <w:sz w:val="19"/>
        </w:rPr>
        <w:t xml:space="preserve"> disclose which month it relates to. Deriving one from </w:t>
      </w:r>
      <w:r>
        <w:rPr>
          <w:rFonts w:ascii="Consolas" w:hAnsi="Consolas"/>
          <w:b w:val="0"/>
          <w:i w:val="0"/>
          <w:sz w:val="19"/>
        </w:rPr>
        <w:t>ACTION_DATE</w:t>
      </w:r>
      <w:r>
        <w:rPr>
          <w:b w:val="0"/>
          <w:i w:val="0"/>
          <w:sz w:val="19"/>
        </w:rPr>
        <w:t xml:space="preserve"> works until an adjustment is approved on the first of a month, or the periods are not calendar months — at which point it quietly breaks.</w:t>
      </w:r>
      <w:r>
        <w:rPr>
          <w:b w:val="0"/>
          <w:i w:val="0"/>
          <w:sz w:val="19"/>
        </w:rPr>
        <w:t>This is open item 24, and it should be settled while the accrual structure is still being defined rather than after.</w:t>
      </w:r>
    </w:p>
    <w:p>
      <w:pPr>
        <w:spacing w:before="120" w:after="160"/>
        <w:ind w:left="288"/>
        <w:pBdr>
          <w:left w:val="single" w:sz="18" w:space="8" w:color="D9A53C"/>
        </w:pBdr>
      </w:pPr>
      <w:r>
        <w:rPr>
          <w:b w:val="0"/>
          <w:i w:val="0"/>
          <w:sz w:val="19"/>
        </w:rPr>
        <w:t>One consequence of the no-approval decision</w:t>
      </w:r>
      <w:r>
        <w:rPr>
          <w:b w:val="0"/>
          <w:i w:val="0"/>
          <w:sz w:val="19"/>
        </w:rPr>
        <w:t xml:space="preserve">Today’s decision — accrual does not wait for manager approval — </w:t>
      </w:r>
      <w:r>
        <w:rPr>
          <w:b/>
          <w:i w:val="0"/>
          <w:sz w:val="19"/>
        </w:rPr>
        <w:t>contradicts what the confirmation step currently does</w:t>
      </w:r>
      <w:r>
        <w:rPr>
          <w:b w:val="0"/>
          <w:i w:val="0"/>
          <w:sz w:val="19"/>
        </w:rPr>
        <w:t>. It filters to approved days only, and posts nothing else. So the decision is not yet implemented; the filter has to be relaxed and the row must carry the status of the hours it reports, or accrual cannot tell a provisional figure from a final one and can never true up. Open items 23 and 25.</w:t>
      </w:r>
    </w:p>
    <w:p>
      <w:pPr>
        <w:pStyle w:val="Heading3"/>
      </w:pPr>
      <w:r>
        <w:t>Scenarios worth confirming, because the answer is not in the code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Scenario</w:t>
            </w:r>
          </w:p>
        </w:tc>
        <w:tc>
          <w:tcPr>
            <w:tcW w:type="dxa" w:w="3264"/>
            <w:shd w:val="clear" w:fill="F1F3F6"/>
          </w:tcPr>
          <w:p>
            <w:pPr>
              <w:spacing w:after="40"/>
            </w:pPr>
            <w:r/>
            <w:r>
              <w:rPr>
                <w:b/>
                <w:i w:val="0"/>
              </w:rPr>
              <w:t>What happens today</w:t>
            </w:r>
          </w:p>
        </w:tc>
        <w:tc>
          <w:tcPr>
            <w:tcW w:type="dxa" w:w="3264"/>
            <w:shd w:val="clear" w:fill="F1F3F6"/>
          </w:tcPr>
          <w:p>
            <w:pPr>
              <w:spacing w:after="40"/>
            </w:pPr>
            <w:r/>
            <w:r>
              <w:rPr>
                <w:b/>
                <w:i w:val="0"/>
              </w:rPr>
              <w:t>Needs a decision?</w:t>
            </w:r>
          </w:p>
        </w:tc>
      </w:tr>
      <w:tr>
        <w:tc>
          <w:tcPr>
            <w:tcW w:type="dxa" w:w="3264"/>
          </w:tcPr>
          <w:p>
            <w:pPr>
              <w:spacing w:after="40"/>
            </w:pPr>
            <w:r/>
            <w:r>
              <w:rPr>
                <w:b w:val="0"/>
                <w:i w:val="0"/>
              </w:rPr>
              <w:t xml:space="preserve">Adjustment approved </w:t>
            </w:r>
            <w:r>
              <w:rPr>
                <w:b w:val="0"/>
                <w:i/>
              </w:rPr>
              <w:t>before</w:t>
            </w:r>
            <w:r>
              <w:rPr>
                <w:b w:val="0"/>
                <w:i w:val="0"/>
              </w:rPr>
              <w:t xml:space="preserve"> its month is confirmed</w:t>
            </w:r>
          </w:p>
        </w:tc>
        <w:tc>
          <w:tcPr>
            <w:tcW w:type="dxa" w:w="3264"/>
          </w:tcPr>
          <w:p>
            <w:pPr>
              <w:spacing w:after="40"/>
            </w:pPr>
            <w:r/>
            <w:r>
              <w:rPr>
                <w:b w:val="0"/>
                <w:i w:val="0"/>
              </w:rPr>
              <w:t>The confirmation picks it up in the normal sweep — no top-up needed, one row, correct month.</w:t>
            </w:r>
          </w:p>
        </w:tc>
        <w:tc>
          <w:tcPr>
            <w:tcW w:type="dxa" w:w="3264"/>
          </w:tcPr>
          <w:p>
            <w:pPr>
              <w:spacing w:after="40"/>
            </w:pPr>
            <w:r/>
            <w:r>
              <w:rPr>
                <w:b w:val="0"/>
                <w:i w:val="0"/>
              </w:rPr>
              <w:t>no</w:t>
            </w:r>
          </w:p>
        </w:tc>
      </w:tr>
      <w:tr>
        <w:tc>
          <w:tcPr>
            <w:tcW w:type="dxa" w:w="3264"/>
          </w:tcPr>
          <w:p>
            <w:pPr>
              <w:spacing w:after="40"/>
            </w:pPr>
            <w:r/>
            <w:r>
              <w:rPr>
                <w:b w:val="0"/>
                <w:i w:val="0"/>
              </w:rPr>
              <w:t xml:space="preserve">Adjustment approved </w:t>
            </w:r>
            <w:r>
              <w:rPr>
                <w:b w:val="0"/>
                <w:i/>
              </w:rPr>
              <w:t>after</w:t>
            </w:r>
            <w:r>
              <w:rPr>
                <w:b w:val="0"/>
                <w:i w:val="0"/>
              </w:rPr>
              <w:t xml:space="preserve"> confirmation</w:t>
            </w:r>
          </w:p>
        </w:tc>
        <w:tc>
          <w:tcPr>
            <w:tcW w:type="dxa" w:w="3264"/>
          </w:tcPr>
          <w:p>
            <w:pPr>
              <w:spacing w:after="40"/>
            </w:pPr>
            <w:r/>
            <w:r>
              <w:rPr>
                <w:b w:val="0"/>
                <w:i w:val="0"/>
              </w:rPr>
              <w:t>Top-up posts the pair. Accrual month ambiguous — see above.</w:t>
            </w:r>
          </w:p>
        </w:tc>
        <w:tc>
          <w:tcPr>
            <w:tcW w:type="dxa" w:w="3264"/>
          </w:tcPr>
          <w:p>
            <w:pPr>
              <w:spacing w:after="40"/>
            </w:pPr>
            <w:r/>
            <w:r>
              <w:rPr>
                <w:b/>
                <w:i w:val="0"/>
              </w:rPr>
              <w:t>yes — item 24</w:t>
            </w:r>
          </w:p>
        </w:tc>
      </w:tr>
      <w:tr>
        <w:tc>
          <w:tcPr>
            <w:tcW w:type="dxa" w:w="3264"/>
          </w:tcPr>
          <w:p>
            <w:pPr>
              <w:spacing w:after="40"/>
            </w:pPr>
            <w:r/>
            <w:r>
              <w:rPr>
                <w:b w:val="0"/>
                <w:i w:val="0"/>
              </w:rPr>
              <w:t>Two adjustments to the same day</w:t>
            </w:r>
          </w:p>
        </w:tc>
        <w:tc>
          <w:tcPr>
            <w:tcW w:type="dxa" w:w="3264"/>
          </w:tcPr>
          <w:p>
            <w:pPr>
              <w:spacing w:after="40"/>
            </w:pPr>
            <w:r/>
            <w:r>
              <w:rPr>
                <w:b w:val="0"/>
                <w:i w:val="0"/>
              </w:rPr>
              <w:t>Each is a separate pair with its own identifier; the guard is per entry and per type, so both post and both net.</w:t>
            </w:r>
          </w:p>
        </w:tc>
        <w:tc>
          <w:tcPr>
            <w:tcW w:type="dxa" w:w="3264"/>
          </w:tcPr>
          <w:p>
            <w:pPr>
              <w:spacing w:after="40"/>
            </w:pPr>
            <w:r/>
            <w:r>
              <w:rPr>
                <w:b w:val="0"/>
                <w:i w:val="0"/>
              </w:rPr>
              <w:t>no</w:t>
            </w:r>
          </w:p>
        </w:tc>
      </w:tr>
      <w:tr>
        <w:tc>
          <w:tcPr>
            <w:tcW w:type="dxa" w:w="3264"/>
          </w:tcPr>
          <w:p>
            <w:pPr>
              <w:spacing w:after="40"/>
            </w:pPr>
            <w:r/>
            <w:r>
              <w:rPr>
                <w:b w:val="0"/>
                <w:i w:val="0"/>
              </w:rPr>
              <w:t>An adjustment that only moves the task, not the hours</w:t>
            </w:r>
          </w:p>
        </w:tc>
        <w:tc>
          <w:tcPr>
            <w:tcW w:type="dxa" w:w="3264"/>
          </w:tcPr>
          <w:p>
            <w:pPr>
              <w:spacing w:after="40"/>
            </w:pPr>
            <w:r/>
            <w:r>
              <w:rPr>
                <w:b w:val="0"/>
                <w:i w:val="0"/>
              </w:rPr>
              <w:t>Reversal and re-entry are equal and opposite, so the net is zero — but both rows still post, which is what lets the consumer see the task moved.</w:t>
            </w:r>
          </w:p>
        </w:tc>
        <w:tc>
          <w:tcPr>
            <w:tcW w:type="dxa" w:w="3264"/>
          </w:tcPr>
          <w:p>
            <w:pPr>
              <w:spacing w:after="40"/>
            </w:pPr>
            <w:r/>
            <w:r>
              <w:rPr>
                <w:b w:val="0"/>
                <w:i w:val="0"/>
              </w:rPr>
              <w:t>no</w:t>
            </w:r>
          </w:p>
        </w:tc>
      </w:tr>
      <w:tr>
        <w:tc>
          <w:tcPr>
            <w:tcW w:type="dxa" w:w="3264"/>
          </w:tcPr>
          <w:p>
            <w:pPr>
              <w:spacing w:after="40"/>
            </w:pPr>
            <w:r/>
            <w:r>
              <w:rPr>
                <w:b w:val="0"/>
                <w:i w:val="0"/>
              </w:rPr>
              <w:t>Month reopened and re-confirmed</w:t>
            </w:r>
          </w:p>
        </w:tc>
        <w:tc>
          <w:tcPr>
            <w:tcW w:type="dxa" w:w="3264"/>
          </w:tcPr>
          <w:p>
            <w:pPr>
              <w:spacing w:after="40"/>
            </w:pPr>
            <w:r/>
            <w:r>
              <w:rPr>
                <w:b w:val="0"/>
                <w:i w:val="0"/>
              </w:rPr>
              <w:t>Same confirmation reused, so no duplicate rows. But the confirmation is marked pending again while rows the consumer already took are still marked processed.</w:t>
            </w:r>
          </w:p>
        </w:tc>
        <w:tc>
          <w:tcPr>
            <w:tcW w:type="dxa" w:w="3264"/>
          </w:tcPr>
          <w:p>
            <w:pPr>
              <w:spacing w:after="40"/>
            </w:pPr>
            <w:r/>
            <w:r>
              <w:rPr>
                <w:b/>
                <w:i w:val="0"/>
              </w:rPr>
              <w:t>yes — minor, item 26</w:t>
            </w:r>
          </w:p>
        </w:tc>
      </w:tr>
      <w:tr>
        <w:tc>
          <w:tcPr>
            <w:tcW w:type="dxa" w:w="3264"/>
          </w:tcPr>
          <w:p>
            <w:pPr>
              <w:spacing w:after="40"/>
            </w:pPr>
            <w:r/>
            <w:r>
              <w:rPr>
                <w:b w:val="0"/>
                <w:i w:val="0"/>
              </w:rPr>
              <w:t>Hours change after being accrued, without an adjustment</w:t>
            </w:r>
          </w:p>
        </w:tc>
        <w:tc>
          <w:tcPr>
            <w:tcW w:type="dxa" w:w="3264"/>
          </w:tcPr>
          <w:p>
            <w:pPr>
              <w:spacing w:after="40"/>
            </w:pPr>
            <w:r/>
            <w:r>
              <w:rPr>
                <w:b w:val="0"/>
                <w:i w:val="0"/>
              </w:rPr>
              <w:t xml:space="preserve">Nothing reaches accrual. The guard tests whether a row </w:t>
            </w:r>
            <w:r>
              <w:rPr>
                <w:b w:val="0"/>
                <w:i/>
              </w:rPr>
              <w:t>exists</w:t>
            </w:r>
            <w:r>
              <w:rPr>
                <w:b w:val="0"/>
                <w:i w:val="0"/>
              </w:rPr>
              <w:t>, not whether its value still matches. Retro changes are supposed to go through an adjustment, which is why this holds — but nothing enforces it.</w:t>
            </w:r>
          </w:p>
        </w:tc>
        <w:tc>
          <w:tcPr>
            <w:tcW w:type="dxa" w:w="3264"/>
          </w:tcPr>
          <w:p>
            <w:pPr>
              <w:spacing w:after="40"/>
            </w:pPr>
            <w:r/>
            <w:r>
              <w:rPr>
                <w:b/>
                <w:i w:val="0"/>
              </w:rPr>
              <w:t>yes — item 27</w:t>
            </w:r>
          </w:p>
        </w:tc>
      </w:tr>
      <w:tr>
        <w:tc>
          <w:tcPr>
            <w:tcW w:type="dxa" w:w="3264"/>
          </w:tcPr>
          <w:p>
            <w:pPr>
              <w:spacing w:after="40"/>
            </w:pPr>
            <w:r/>
            <w:r>
              <w:rPr>
                <w:b w:val="0"/>
                <w:i w:val="0"/>
              </w:rPr>
              <w:t>Leave rows</w:t>
            </w:r>
          </w:p>
        </w:tc>
        <w:tc>
          <w:tcPr>
            <w:tcW w:type="dxa" w:w="3264"/>
          </w:tcPr>
          <w:p>
            <w:pPr>
              <w:spacing w:after="40"/>
            </w:pPr>
            <w:r/>
            <w:r>
              <w:rPr>
                <w:b w:val="0"/>
                <w:i w:val="0"/>
              </w:rPr>
              <w:t>Carried to accrual with their hours, excluded from the Project Costing post so absence is not double-counted.</w:t>
            </w:r>
          </w:p>
        </w:tc>
        <w:tc>
          <w:tcPr>
            <w:tcW w:type="dxa" w:w="3264"/>
          </w:tcPr>
          <w:p>
            <w:pPr>
              <w:spacing w:after="40"/>
            </w:pPr>
            <w:r/>
            <w:r>
              <w:rPr>
                <w:b w:val="0"/>
                <w:i w:val="0"/>
              </w:rPr>
              <w:t>no</w:t>
            </w:r>
          </w:p>
        </w:tc>
      </w:tr>
    </w:tbl>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